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1153B" w:rsidRPr="0042261D" w:rsidRDefault="0071153B">
      <w:pPr>
        <w:rPr>
          <w:rFonts w:asciiTheme="minorHAnsi" w:hAnsiTheme="minorHAnsi"/>
          <w:b/>
        </w:rPr>
      </w:pPr>
    </w:p>
    <w:p w14:paraId="00000002" w14:textId="77777777" w:rsidR="0071153B" w:rsidRPr="0042261D" w:rsidRDefault="00B2287E">
      <w:pPr>
        <w:jc w:val="center"/>
        <w:rPr>
          <w:rFonts w:asciiTheme="minorHAnsi" w:hAnsiTheme="minorHAnsi"/>
          <w:b/>
        </w:rPr>
      </w:pPr>
      <w:r w:rsidRPr="0042261D">
        <w:rPr>
          <w:rFonts w:asciiTheme="minorHAnsi" w:hAnsiTheme="minorHAnsi"/>
          <w:b/>
        </w:rPr>
        <w:t>Press Release</w:t>
      </w:r>
    </w:p>
    <w:p w14:paraId="00000003" w14:textId="42FB9FC4" w:rsidR="0071153B" w:rsidRPr="0042261D" w:rsidRDefault="006D1292">
      <w:pPr>
        <w:rPr>
          <w:rFonts w:asciiTheme="minorHAnsi" w:hAnsiTheme="minorHAnsi"/>
        </w:rPr>
      </w:pPr>
      <w:sdt>
        <w:sdtPr>
          <w:rPr>
            <w:rFonts w:asciiTheme="minorHAnsi" w:hAnsiTheme="minorHAnsi"/>
          </w:rPr>
          <w:tag w:val="goog_rdk_0"/>
          <w:id w:val="1562451484"/>
        </w:sdtPr>
        <w:sdtEndPr/>
        <w:sdtContent/>
      </w:sdt>
      <w:r w:rsidR="0011584C" w:rsidRPr="0042261D">
        <w:rPr>
          <w:rFonts w:asciiTheme="minorHAnsi" w:hAnsiTheme="minorHAnsi"/>
          <w:b/>
        </w:rPr>
        <w:t>ne</w:t>
      </w:r>
      <w:r w:rsidR="00B2287E" w:rsidRPr="0042261D">
        <w:rPr>
          <w:rFonts w:asciiTheme="minorHAnsi" w:hAnsiTheme="minorHAnsi"/>
          <w:b/>
        </w:rPr>
        <w:t xml:space="preserve">xxbuild Announces </w:t>
      </w:r>
      <w:r w:rsidR="0011584C" w:rsidRPr="0042261D">
        <w:rPr>
          <w:rFonts w:asciiTheme="minorHAnsi" w:hAnsiTheme="minorHAnsi"/>
          <w:b/>
        </w:rPr>
        <w:t xml:space="preserve">a Strategic </w:t>
      </w:r>
      <w:r w:rsidR="00AA0B1D" w:rsidRPr="0042261D">
        <w:rPr>
          <w:rFonts w:asciiTheme="minorHAnsi" w:hAnsiTheme="minorHAnsi"/>
          <w:b/>
        </w:rPr>
        <w:t>Business Combination</w:t>
      </w:r>
      <w:r w:rsidR="0011584C" w:rsidRPr="0042261D">
        <w:rPr>
          <w:rFonts w:asciiTheme="minorHAnsi" w:hAnsiTheme="minorHAnsi"/>
          <w:b/>
        </w:rPr>
        <w:t xml:space="preserve"> with </w:t>
      </w:r>
      <w:r w:rsidR="00B2287E" w:rsidRPr="0042261D">
        <w:rPr>
          <w:rFonts w:asciiTheme="minorHAnsi" w:hAnsiTheme="minorHAnsi"/>
          <w:b/>
        </w:rPr>
        <w:t>Contractors Supply, Inc.</w:t>
      </w:r>
    </w:p>
    <w:p w14:paraId="00000004" w14:textId="30BDDC22" w:rsidR="0071153B" w:rsidRPr="0042261D" w:rsidRDefault="00B2287E">
      <w:pPr>
        <w:rPr>
          <w:rFonts w:asciiTheme="minorHAnsi" w:hAnsiTheme="minorHAnsi"/>
        </w:rPr>
      </w:pPr>
      <w:r w:rsidRPr="0042261D">
        <w:rPr>
          <w:rFonts w:asciiTheme="minorHAnsi" w:hAnsiTheme="minorHAnsi"/>
          <w:i/>
        </w:rPr>
        <w:t xml:space="preserve">Wilmington, Delaware – </w:t>
      </w:r>
      <w:r w:rsidR="0018229F" w:rsidRPr="00EA688C">
        <w:rPr>
          <w:rFonts w:asciiTheme="minorHAnsi" w:hAnsiTheme="minorHAnsi"/>
          <w:i/>
        </w:rPr>
        <w:t>June</w:t>
      </w:r>
      <w:r w:rsidRPr="00EA688C">
        <w:rPr>
          <w:rFonts w:asciiTheme="minorHAnsi" w:hAnsiTheme="minorHAnsi"/>
          <w:i/>
        </w:rPr>
        <w:t xml:space="preserve"> [</w:t>
      </w:r>
      <w:r w:rsidR="006D1292">
        <w:rPr>
          <w:rFonts w:asciiTheme="minorHAnsi" w:hAnsiTheme="minorHAnsi"/>
          <w:i/>
        </w:rPr>
        <w:t>23</w:t>
      </w:r>
      <w:r w:rsidRPr="00EA688C">
        <w:rPr>
          <w:rFonts w:asciiTheme="minorHAnsi" w:hAnsiTheme="minorHAnsi"/>
          <w:i/>
        </w:rPr>
        <w:t>], 2025</w:t>
      </w:r>
      <w:r w:rsidRPr="00EA688C">
        <w:rPr>
          <w:rFonts w:asciiTheme="minorHAnsi" w:hAnsiTheme="minorHAnsi"/>
        </w:rPr>
        <w:t> </w:t>
      </w:r>
      <w:r w:rsidRPr="0042261D">
        <w:rPr>
          <w:rFonts w:asciiTheme="minorHAnsi" w:hAnsiTheme="minorHAnsi"/>
        </w:rPr>
        <w:t xml:space="preserve">– In a groundbreaking move </w:t>
      </w:r>
      <w:sdt>
        <w:sdtPr>
          <w:rPr>
            <w:rFonts w:asciiTheme="minorHAnsi" w:hAnsiTheme="minorHAnsi"/>
          </w:rPr>
          <w:tag w:val="goog_rdk_2"/>
          <w:id w:val="-682514669"/>
        </w:sdtPr>
        <w:sdtEndPr/>
        <w:sdtContent/>
      </w:sdt>
      <w:r w:rsidRPr="0042261D">
        <w:rPr>
          <w:rFonts w:asciiTheme="minorHAnsi" w:hAnsiTheme="minorHAnsi"/>
        </w:rPr>
        <w:t xml:space="preserve">that </w:t>
      </w:r>
      <w:r w:rsidR="0011584C" w:rsidRPr="0042261D">
        <w:rPr>
          <w:rFonts w:asciiTheme="minorHAnsi" w:hAnsiTheme="minorHAnsi"/>
        </w:rPr>
        <w:t>will r</w:t>
      </w:r>
      <w:r w:rsidRPr="0042261D">
        <w:rPr>
          <w:rFonts w:asciiTheme="minorHAnsi" w:hAnsiTheme="minorHAnsi"/>
        </w:rPr>
        <w:t>eshape the landscape of construction materials distribution,</w:t>
      </w:r>
      <w:r w:rsidR="005E5820" w:rsidRPr="0042261D">
        <w:rPr>
          <w:rFonts w:asciiTheme="minorHAnsi" w:hAnsiTheme="minorHAnsi"/>
        </w:rPr>
        <w:t xml:space="preserve"> </w:t>
      </w:r>
      <w:r w:rsidR="006F794E">
        <w:rPr>
          <w:rFonts w:asciiTheme="minorHAnsi" w:hAnsiTheme="minorHAnsi"/>
        </w:rPr>
        <w:t>Nexx HoldCo, LLC</w:t>
      </w:r>
      <w:r w:rsidRPr="0042261D">
        <w:rPr>
          <w:rFonts w:asciiTheme="minorHAnsi" w:hAnsiTheme="minorHAnsi"/>
        </w:rPr>
        <w:t xml:space="preserve"> </w:t>
      </w:r>
      <w:r w:rsidR="005E5820" w:rsidRPr="0042261D">
        <w:rPr>
          <w:rFonts w:asciiTheme="minorHAnsi" w:hAnsiTheme="minorHAnsi"/>
        </w:rPr>
        <w:t>(“</w:t>
      </w:r>
      <w:r w:rsidRPr="006F794E">
        <w:rPr>
          <w:rFonts w:asciiTheme="minorHAnsi" w:hAnsiTheme="minorHAnsi"/>
        </w:rPr>
        <w:t>nexxbuild</w:t>
      </w:r>
      <w:r w:rsidR="005E5820" w:rsidRPr="0042261D">
        <w:rPr>
          <w:rFonts w:asciiTheme="minorHAnsi" w:hAnsiTheme="minorHAnsi"/>
        </w:rPr>
        <w:t>”)</w:t>
      </w:r>
      <w:r w:rsidRPr="0042261D">
        <w:rPr>
          <w:rFonts w:asciiTheme="minorHAnsi" w:hAnsiTheme="minorHAnsi"/>
        </w:rPr>
        <w:t xml:space="preserve"> has </w:t>
      </w:r>
      <w:r w:rsidR="00AA0B1D" w:rsidRPr="0042261D">
        <w:rPr>
          <w:rFonts w:asciiTheme="minorHAnsi" w:hAnsiTheme="minorHAnsi"/>
        </w:rPr>
        <w:t xml:space="preserve">announced </w:t>
      </w:r>
      <w:r w:rsidR="005E5820" w:rsidRPr="0042261D">
        <w:rPr>
          <w:rFonts w:asciiTheme="minorHAnsi" w:hAnsiTheme="minorHAnsi"/>
        </w:rPr>
        <w:t xml:space="preserve">its </w:t>
      </w:r>
      <w:r w:rsidR="00AA0B1D" w:rsidRPr="0042261D">
        <w:rPr>
          <w:rFonts w:asciiTheme="minorHAnsi" w:hAnsiTheme="minorHAnsi"/>
        </w:rPr>
        <w:t>strategic business combination</w:t>
      </w:r>
      <w:r w:rsidRPr="0042261D">
        <w:rPr>
          <w:rFonts w:asciiTheme="minorHAnsi" w:hAnsiTheme="minorHAnsi"/>
        </w:rPr>
        <w:t xml:space="preserve"> with Contractors Supply, Inc.</w:t>
      </w:r>
      <w:r w:rsidR="005E5820" w:rsidRPr="0042261D">
        <w:rPr>
          <w:rFonts w:asciiTheme="minorHAnsi" w:hAnsiTheme="minorHAnsi"/>
        </w:rPr>
        <w:t xml:space="preserve"> (“CSI”).</w:t>
      </w:r>
      <w:r w:rsidRPr="0042261D">
        <w:rPr>
          <w:rFonts w:asciiTheme="minorHAnsi" w:hAnsiTheme="minorHAnsi"/>
        </w:rPr>
        <w:t xml:space="preserve"> </w:t>
      </w:r>
      <w:r w:rsidR="00CC4DBB" w:rsidRPr="0042261D">
        <w:rPr>
          <w:rFonts w:asciiTheme="minorHAnsi" w:hAnsiTheme="minorHAnsi"/>
        </w:rPr>
        <w:t xml:space="preserve">This comes on heals of nexxbuild’s prior announcement its plans to go public in a business combination with   </w:t>
      </w:r>
      <w:r w:rsidR="006F794E">
        <w:rPr>
          <w:rFonts w:asciiTheme="minorHAnsi" w:hAnsiTheme="minorHAnsi"/>
        </w:rPr>
        <w:t>Investcorp Europe Acquisition Corp.</w:t>
      </w:r>
      <w:r w:rsidR="00CC4DBB" w:rsidRPr="0042261D">
        <w:rPr>
          <w:rFonts w:asciiTheme="minorHAnsi" w:hAnsiTheme="minorHAnsi"/>
        </w:rPr>
        <w:t xml:space="preserve"> (“IVCB”). </w:t>
      </w:r>
      <w:r w:rsidRPr="0042261D">
        <w:rPr>
          <w:rFonts w:asciiTheme="minorHAnsi" w:hAnsiTheme="minorHAnsi"/>
        </w:rPr>
        <w:t>This dual initiative marks a significant milestone in nexxbuild's journey to unite independent local distributors under a cohesive nationwide platform.</w:t>
      </w:r>
    </w:p>
    <w:p w14:paraId="208201A2" w14:textId="1751D962" w:rsidR="0011584C" w:rsidRPr="0042261D" w:rsidRDefault="00B2287E">
      <w:pPr>
        <w:rPr>
          <w:rFonts w:asciiTheme="minorHAnsi" w:hAnsiTheme="minorHAnsi"/>
        </w:rPr>
      </w:pPr>
      <w:r w:rsidRPr="0042261D">
        <w:rPr>
          <w:rFonts w:asciiTheme="minorHAnsi" w:hAnsiTheme="minorHAnsi"/>
        </w:rPr>
        <w:t>“</w:t>
      </w:r>
      <w:sdt>
        <w:sdtPr>
          <w:rPr>
            <w:rFonts w:asciiTheme="minorHAnsi" w:hAnsiTheme="minorHAnsi"/>
          </w:rPr>
          <w:tag w:val="goog_rdk_4"/>
          <w:id w:val="-192617148"/>
        </w:sdtPr>
        <w:sdtEndPr/>
        <w:sdtContent>
          <w:r w:rsidR="0011584C" w:rsidRPr="0042261D">
            <w:rPr>
              <w:rFonts w:asciiTheme="minorHAnsi" w:hAnsiTheme="minorHAnsi"/>
            </w:rPr>
            <w:t>Today marks the beginning of an exciting future for local distributors across the country,” stated David B. Murphy Jr., CEO of nexxbuild.</w:t>
          </w:r>
          <w:r w:rsidR="00FA3959" w:rsidRPr="0042261D">
            <w:rPr>
              <w:rFonts w:asciiTheme="minorHAnsi" w:hAnsiTheme="minorHAnsi"/>
            </w:rPr>
            <w:t>”</w:t>
          </w:r>
          <w:r w:rsidR="0011584C" w:rsidRPr="0042261D">
            <w:rPr>
              <w:rFonts w:asciiTheme="minorHAnsi" w:hAnsiTheme="minorHAnsi"/>
            </w:rPr>
            <w:t xml:space="preserve"> </w:t>
          </w:r>
          <w:r w:rsidR="00FA3959" w:rsidRPr="0042261D">
            <w:rPr>
              <w:rFonts w:asciiTheme="minorHAnsi" w:hAnsiTheme="minorHAnsi"/>
            </w:rPr>
            <w:t>“</w:t>
          </w:r>
        </w:sdtContent>
      </w:sdt>
      <w:r w:rsidRPr="0042261D">
        <w:rPr>
          <w:rFonts w:asciiTheme="minorHAnsi" w:hAnsiTheme="minorHAnsi"/>
        </w:rPr>
        <w:t>As we launch nexxbuild, we are committed to revolutionizing the construction materials distribution sector by deploying a ‘people first, tech forward’ visio</w:t>
      </w:r>
      <w:r w:rsidR="0011584C" w:rsidRPr="0042261D">
        <w:rPr>
          <w:rFonts w:asciiTheme="minorHAnsi" w:hAnsiTheme="minorHAnsi"/>
        </w:rPr>
        <w:t>n.</w:t>
      </w:r>
      <w:r w:rsidR="00FA3959" w:rsidRPr="0042261D">
        <w:rPr>
          <w:rFonts w:asciiTheme="minorHAnsi" w:hAnsiTheme="minorHAnsi"/>
        </w:rPr>
        <w:t>”</w:t>
      </w:r>
      <w:r w:rsidR="0011584C" w:rsidRPr="0042261D">
        <w:rPr>
          <w:rFonts w:asciiTheme="minorHAnsi" w:hAnsiTheme="minorHAnsi"/>
        </w:rPr>
        <w:t xml:space="preserve">  </w:t>
      </w:r>
      <w:r w:rsidRPr="0042261D">
        <w:rPr>
          <w:rFonts w:asciiTheme="minorHAnsi" w:hAnsiTheme="minorHAnsi"/>
        </w:rPr>
        <w:t xml:space="preserve">His words underscore a strategy that emphasizes both </w:t>
      </w:r>
      <w:r w:rsidR="0011584C" w:rsidRPr="0042261D">
        <w:rPr>
          <w:rFonts w:asciiTheme="minorHAnsi" w:hAnsiTheme="minorHAnsi"/>
        </w:rPr>
        <w:t xml:space="preserve">breakthrough </w:t>
      </w:r>
      <w:r w:rsidRPr="0042261D">
        <w:rPr>
          <w:rFonts w:asciiTheme="minorHAnsi" w:hAnsiTheme="minorHAnsi"/>
        </w:rPr>
        <w:t>technology and the power of human connections.</w:t>
      </w:r>
      <w:r w:rsidR="00FA3959" w:rsidRPr="0042261D">
        <w:rPr>
          <w:rFonts w:asciiTheme="minorHAnsi" w:hAnsiTheme="minorHAnsi"/>
        </w:rPr>
        <w:t xml:space="preserve"> “</w:t>
      </w:r>
      <w:r w:rsidR="0011584C" w:rsidRPr="0042261D">
        <w:rPr>
          <w:rFonts w:asciiTheme="minorHAnsi" w:hAnsiTheme="minorHAnsi"/>
        </w:rPr>
        <w:t>Our goal is to create what everyone in our industry has been asking for: a future where local distributors can stay true to themselves while having the support, strength and reach of a nationwide network behind them.</w:t>
      </w:r>
      <w:r w:rsidR="37B06078" w:rsidRPr="0042261D">
        <w:rPr>
          <w:rFonts w:asciiTheme="minorHAnsi" w:hAnsiTheme="minorHAnsi"/>
        </w:rPr>
        <w:t>”</w:t>
      </w:r>
    </w:p>
    <w:p w14:paraId="349C4161" w14:textId="63725A10" w:rsidR="0011584C" w:rsidRPr="0042261D" w:rsidRDefault="0011584C">
      <w:pPr>
        <w:rPr>
          <w:rFonts w:asciiTheme="minorHAnsi" w:hAnsiTheme="minorHAnsi"/>
        </w:rPr>
      </w:pPr>
      <w:r w:rsidRPr="0042261D">
        <w:rPr>
          <w:rFonts w:asciiTheme="minorHAnsi" w:hAnsiTheme="minorHAnsi"/>
        </w:rPr>
        <w:t>"Contractors Supply isn't going anywhere — we're growing into something even stronger. Our same dependable team will now have more resources to serve our customers better than ever before," said Grace “Babs” Murphy, newly elevated President of CSI.</w:t>
      </w:r>
    </w:p>
    <w:p w14:paraId="00000006" w14:textId="72BF147B" w:rsidR="0071153B" w:rsidRPr="0042261D" w:rsidRDefault="00B2287E">
      <w:pPr>
        <w:rPr>
          <w:rFonts w:asciiTheme="minorHAnsi" w:hAnsiTheme="minorHAnsi"/>
        </w:rPr>
      </w:pPr>
      <w:r w:rsidRPr="0042261D">
        <w:rPr>
          <w:rFonts w:asciiTheme="minorHAnsi" w:hAnsiTheme="minorHAnsi"/>
        </w:rPr>
        <w:t>This announcement comes as nexxbuild files with the SEC to become publicly traded</w:t>
      </w:r>
      <w:r w:rsidR="00766ACA" w:rsidRPr="0042261D">
        <w:rPr>
          <w:rFonts w:asciiTheme="minorHAnsi" w:hAnsiTheme="minorHAnsi"/>
        </w:rPr>
        <w:t xml:space="preserve"> through a merger with Investcorp Europe Acquisition Corp. (“IVCB”)</w:t>
      </w:r>
      <w:r w:rsidRPr="0042261D">
        <w:rPr>
          <w:rFonts w:asciiTheme="minorHAnsi" w:hAnsiTheme="minorHAnsi"/>
        </w:rPr>
        <w:t xml:space="preserve"> on the NASDAQ in 2025. The merger with Contractors Supply, Inc.</w:t>
      </w:r>
      <w:r w:rsidR="005E5820" w:rsidRPr="0042261D">
        <w:rPr>
          <w:rFonts w:asciiTheme="minorHAnsi" w:hAnsiTheme="minorHAnsi"/>
        </w:rPr>
        <w:t xml:space="preserve"> (the “merger”)</w:t>
      </w:r>
      <w:r w:rsidRPr="0042261D">
        <w:rPr>
          <w:rFonts w:asciiTheme="minorHAnsi" w:hAnsiTheme="minorHAnsi"/>
        </w:rPr>
        <w:t xml:space="preserve"> will see the latter continue its operations, serving as the platform company for </w:t>
      </w:r>
      <w:sdt>
        <w:sdtPr>
          <w:rPr>
            <w:rFonts w:asciiTheme="minorHAnsi" w:hAnsiTheme="minorHAnsi"/>
          </w:rPr>
          <w:tag w:val="goog_rdk_12"/>
          <w:id w:val="816920605"/>
        </w:sdtPr>
        <w:sdtEndPr/>
        <w:sdtContent/>
      </w:sdt>
      <w:r w:rsidRPr="0042261D">
        <w:rPr>
          <w:rFonts w:asciiTheme="minorHAnsi" w:hAnsiTheme="minorHAnsi"/>
        </w:rPr>
        <w:t xml:space="preserve">nexxbuild. </w:t>
      </w:r>
    </w:p>
    <w:p w14:paraId="00000007" w14:textId="08B80E89" w:rsidR="0071153B" w:rsidRPr="0042261D" w:rsidRDefault="00B2287E">
      <w:pPr>
        <w:rPr>
          <w:rFonts w:asciiTheme="minorHAnsi" w:hAnsiTheme="minorHAnsi"/>
        </w:rPr>
      </w:pPr>
      <w:r w:rsidRPr="0042261D">
        <w:rPr>
          <w:rFonts w:asciiTheme="minorHAnsi" w:hAnsiTheme="minorHAnsi"/>
        </w:rPr>
        <w:t>Th</w:t>
      </w:r>
      <w:r w:rsidR="005E5820" w:rsidRPr="0042261D">
        <w:rPr>
          <w:rFonts w:asciiTheme="minorHAnsi" w:hAnsiTheme="minorHAnsi"/>
        </w:rPr>
        <w:t>e</w:t>
      </w:r>
      <w:r w:rsidRPr="0042261D">
        <w:rPr>
          <w:rFonts w:asciiTheme="minorHAnsi" w:hAnsiTheme="minorHAnsi"/>
        </w:rPr>
        <w:t xml:space="preserve"> merger exemplifies nexxbuild's mission to empower local distributors, preserving their unique identities and cultures while providing the strength and resources of a nationwide network. </w:t>
      </w:r>
    </w:p>
    <w:p w14:paraId="149CE415" w14:textId="77777777" w:rsidR="0011584C" w:rsidRPr="0042261D" w:rsidRDefault="0011584C">
      <w:pPr>
        <w:rPr>
          <w:rFonts w:asciiTheme="minorHAnsi" w:hAnsiTheme="minorHAnsi"/>
        </w:rPr>
      </w:pPr>
    </w:p>
    <w:p w14:paraId="6D90C82E" w14:textId="77777777" w:rsidR="0011584C" w:rsidRPr="0042261D" w:rsidRDefault="0011584C">
      <w:pPr>
        <w:rPr>
          <w:rFonts w:asciiTheme="minorHAnsi" w:hAnsiTheme="minorHAnsi"/>
        </w:rPr>
      </w:pPr>
    </w:p>
    <w:p w14:paraId="4364F397" w14:textId="77777777" w:rsidR="007C78BF" w:rsidRPr="0042261D" w:rsidRDefault="007C78BF">
      <w:pPr>
        <w:rPr>
          <w:rFonts w:asciiTheme="minorHAnsi" w:hAnsiTheme="minorHAnsi"/>
        </w:rPr>
      </w:pPr>
    </w:p>
    <w:p w14:paraId="04E4DDCC" w14:textId="77777777" w:rsidR="0011584C" w:rsidRPr="0042261D" w:rsidRDefault="0011584C">
      <w:pPr>
        <w:rPr>
          <w:rFonts w:asciiTheme="minorHAnsi" w:hAnsiTheme="minorHAnsi"/>
        </w:rPr>
      </w:pPr>
    </w:p>
    <w:p w14:paraId="552E21CA" w14:textId="730CE78A" w:rsidR="77335B3B" w:rsidRPr="0042261D" w:rsidRDefault="77335B3B">
      <w:pPr>
        <w:rPr>
          <w:rFonts w:asciiTheme="minorHAnsi" w:hAnsiTheme="minorHAnsi"/>
        </w:rPr>
      </w:pPr>
    </w:p>
    <w:p w14:paraId="00000008" w14:textId="77777777" w:rsidR="0071153B" w:rsidRPr="0042261D" w:rsidRDefault="00B2287E">
      <w:pPr>
        <w:rPr>
          <w:rFonts w:asciiTheme="minorHAnsi" w:hAnsiTheme="minorHAnsi"/>
        </w:rPr>
      </w:pPr>
      <w:r w:rsidRPr="0042261D">
        <w:rPr>
          <w:rFonts w:asciiTheme="minorHAnsi" w:hAnsiTheme="minorHAnsi"/>
          <w:b/>
        </w:rPr>
        <w:t>Key Highlights:</w:t>
      </w:r>
    </w:p>
    <w:p w14:paraId="00000009" w14:textId="77777777" w:rsidR="0071153B" w:rsidRPr="0042261D" w:rsidRDefault="00B2287E">
      <w:pPr>
        <w:numPr>
          <w:ilvl w:val="0"/>
          <w:numId w:val="1"/>
        </w:numPr>
        <w:rPr>
          <w:rFonts w:asciiTheme="minorHAnsi" w:hAnsiTheme="minorHAnsi"/>
        </w:rPr>
      </w:pPr>
      <w:r w:rsidRPr="0042261D">
        <w:rPr>
          <w:rFonts w:asciiTheme="minorHAnsi" w:hAnsiTheme="minorHAnsi"/>
        </w:rPr>
        <w:t>nexxbuild empowers local distributors to grow while maintaining their identity, culture, and relationships.</w:t>
      </w:r>
    </w:p>
    <w:p w14:paraId="0000000A" w14:textId="05D635AF" w:rsidR="0071153B" w:rsidRPr="0042261D" w:rsidRDefault="005E5820">
      <w:pPr>
        <w:numPr>
          <w:ilvl w:val="0"/>
          <w:numId w:val="1"/>
        </w:numPr>
        <w:rPr>
          <w:rFonts w:asciiTheme="minorHAnsi" w:hAnsiTheme="minorHAnsi"/>
        </w:rPr>
      </w:pPr>
      <w:r w:rsidRPr="0042261D">
        <w:rPr>
          <w:rFonts w:asciiTheme="minorHAnsi" w:hAnsiTheme="minorHAnsi"/>
        </w:rPr>
        <w:t>nexxbuild</w:t>
      </w:r>
      <w:r w:rsidR="00B2287E" w:rsidRPr="0042261D">
        <w:rPr>
          <w:rFonts w:asciiTheme="minorHAnsi" w:hAnsiTheme="minorHAnsi"/>
        </w:rPr>
        <w:t xml:space="preserve"> is committed to being both people-first and </w:t>
      </w:r>
      <w:sdt>
        <w:sdtPr>
          <w:rPr>
            <w:rFonts w:asciiTheme="minorHAnsi" w:hAnsiTheme="minorHAnsi"/>
          </w:rPr>
          <w:tag w:val="goog_rdk_13"/>
          <w:id w:val="-1164011677"/>
        </w:sdtPr>
        <w:sdtEndPr/>
        <w:sdtContent/>
      </w:sdt>
      <w:r w:rsidR="00B2287E" w:rsidRPr="0042261D">
        <w:rPr>
          <w:rFonts w:asciiTheme="minorHAnsi" w:hAnsiTheme="minorHAnsi"/>
        </w:rPr>
        <w:t>technology-forward</w:t>
      </w:r>
      <w:r w:rsidR="0011584C" w:rsidRPr="0042261D">
        <w:rPr>
          <w:rFonts w:asciiTheme="minorHAnsi" w:hAnsiTheme="minorHAnsi"/>
        </w:rPr>
        <w:t>, offering access to digital tools and tech to help the nexxbuild family of brands grow their relevance and reach."</w:t>
      </w:r>
    </w:p>
    <w:p w14:paraId="0000000B" w14:textId="77777777" w:rsidR="0071153B" w:rsidRPr="0042261D" w:rsidRDefault="00B2287E">
      <w:pPr>
        <w:numPr>
          <w:ilvl w:val="0"/>
          <w:numId w:val="1"/>
        </w:numPr>
        <w:rPr>
          <w:rFonts w:asciiTheme="minorHAnsi" w:hAnsiTheme="minorHAnsi"/>
        </w:rPr>
      </w:pPr>
      <w:r w:rsidRPr="0042261D">
        <w:rPr>
          <w:rFonts w:asciiTheme="minorHAnsi" w:hAnsiTheme="minorHAnsi"/>
        </w:rPr>
        <w:t>nexxbuild aims to enhance service and product offerings for vendors and customers.</w:t>
      </w:r>
    </w:p>
    <w:p w14:paraId="00000012" w14:textId="2F0AF772" w:rsidR="0071153B" w:rsidRPr="0042261D" w:rsidRDefault="00B2287E" w:rsidP="0018288E">
      <w:pPr>
        <w:numPr>
          <w:ilvl w:val="0"/>
          <w:numId w:val="1"/>
        </w:numPr>
        <w:rPr>
          <w:rFonts w:asciiTheme="minorHAnsi" w:hAnsiTheme="minorHAnsi"/>
        </w:rPr>
      </w:pPr>
      <w:r w:rsidRPr="0042261D">
        <w:rPr>
          <w:rFonts w:asciiTheme="minorHAnsi" w:hAnsiTheme="minorHAnsi"/>
        </w:rPr>
        <w:t>Contractors Supply, Inc. will continue its operations and serve as the platform company of nexxbuild.</w:t>
      </w:r>
    </w:p>
    <w:p w14:paraId="60F4BE04" w14:textId="77777777" w:rsidR="005E5820" w:rsidRPr="0042261D" w:rsidRDefault="005E5820" w:rsidP="005E5820">
      <w:pPr>
        <w:rPr>
          <w:rFonts w:asciiTheme="minorHAnsi" w:hAnsiTheme="minorHAnsi"/>
          <w:b/>
        </w:rPr>
      </w:pPr>
      <w:r w:rsidRPr="0042261D">
        <w:rPr>
          <w:rFonts w:asciiTheme="minorHAnsi" w:hAnsiTheme="minorHAnsi"/>
          <w:b/>
        </w:rPr>
        <w:t>About nexxbuild:</w:t>
      </w:r>
    </w:p>
    <w:p w14:paraId="01559289" w14:textId="74078E8D" w:rsidR="005E5820" w:rsidRPr="0042261D" w:rsidRDefault="005E5820" w:rsidP="005E5820">
      <w:pPr>
        <w:ind w:left="360"/>
        <w:rPr>
          <w:rFonts w:asciiTheme="minorHAnsi" w:hAnsiTheme="minorHAnsi"/>
        </w:rPr>
      </w:pPr>
      <w:r w:rsidRPr="0042261D">
        <w:rPr>
          <w:rFonts w:asciiTheme="minorHAnsi" w:hAnsiTheme="minorHAnsi"/>
        </w:rPr>
        <w:t>nexxbuild unites the strengths of independent local distributors into a cohesive nationwide platform.  In an industry where personalized service and local expertise are essential, nexxbuild focuses on empowering these distributors to thrive on their own terms, backed by the robust resources of a national network.</w:t>
      </w:r>
    </w:p>
    <w:p w14:paraId="39EE9C35" w14:textId="7913F224" w:rsidR="005E5820" w:rsidRPr="0042261D" w:rsidRDefault="005E5820" w:rsidP="005E5820">
      <w:pPr>
        <w:rPr>
          <w:rFonts w:asciiTheme="minorHAnsi" w:hAnsiTheme="minorHAnsi"/>
        </w:rPr>
      </w:pPr>
      <w:r w:rsidRPr="0042261D">
        <w:rPr>
          <w:rFonts w:asciiTheme="minorHAnsi" w:hAnsiTheme="minorHAnsi"/>
          <w:b/>
        </w:rPr>
        <w:t>About Contractors Supply</w:t>
      </w:r>
      <w:r w:rsidR="006F794E">
        <w:rPr>
          <w:rFonts w:asciiTheme="minorHAnsi" w:hAnsiTheme="minorHAnsi"/>
          <w:b/>
        </w:rPr>
        <w:t>,</w:t>
      </w:r>
      <w:r w:rsidRPr="0042261D">
        <w:rPr>
          <w:rFonts w:asciiTheme="minorHAnsi" w:hAnsiTheme="minorHAnsi"/>
          <w:b/>
        </w:rPr>
        <w:t xml:space="preserve"> Inc.:</w:t>
      </w:r>
    </w:p>
    <w:p w14:paraId="11EB6616" w14:textId="0D3D520E" w:rsidR="005E5820" w:rsidRPr="0042261D" w:rsidRDefault="005E5820" w:rsidP="005E5820">
      <w:pPr>
        <w:pStyle w:val="ListParagraph"/>
        <w:numPr>
          <w:ilvl w:val="0"/>
          <w:numId w:val="1"/>
        </w:numPr>
        <w:rPr>
          <w:rFonts w:asciiTheme="minorHAnsi" w:hAnsiTheme="minorHAnsi"/>
        </w:rPr>
      </w:pPr>
      <w:r w:rsidRPr="0042261D">
        <w:rPr>
          <w:rFonts w:asciiTheme="minorHAnsi" w:hAnsiTheme="minorHAnsi"/>
        </w:rPr>
        <w:t>Contractors Supply</w:t>
      </w:r>
      <w:r w:rsidR="006F794E">
        <w:rPr>
          <w:rFonts w:asciiTheme="minorHAnsi" w:hAnsiTheme="minorHAnsi"/>
        </w:rPr>
        <w:t>,</w:t>
      </w:r>
      <w:r w:rsidRPr="0042261D">
        <w:rPr>
          <w:rFonts w:asciiTheme="minorHAnsi" w:hAnsiTheme="minorHAnsi"/>
        </w:rPr>
        <w:t xml:space="preserve"> Inc. is a leading distributor of construction materials, supplies and equipment in the Northeast. The company has forged deep and long-lasting partnerships with customers and manufacturers who are invaluable resources in product selection, technical service, price and availability. </w:t>
      </w:r>
    </w:p>
    <w:p w14:paraId="0EB822C0" w14:textId="77777777" w:rsidR="005E5820" w:rsidRPr="0042261D" w:rsidRDefault="005E5820" w:rsidP="005E5820">
      <w:pPr>
        <w:pStyle w:val="ListParagraph"/>
        <w:numPr>
          <w:ilvl w:val="0"/>
          <w:numId w:val="1"/>
        </w:numPr>
        <w:rPr>
          <w:rFonts w:asciiTheme="minorHAnsi" w:hAnsiTheme="minorHAnsi"/>
        </w:rPr>
      </w:pPr>
      <w:r w:rsidRPr="0042261D">
        <w:rPr>
          <w:rFonts w:asciiTheme="minorHAnsi" w:hAnsiTheme="minorHAnsi"/>
        </w:rPr>
        <w:t xml:space="preserve">Contractors Supply, Inc. has successfully grown its core customers, associates, values, and an ever-increasing level of service for which its reputation is built on, filling a unique niche as the premiere, full-service distributor in the New England Construction Market.  </w:t>
      </w:r>
    </w:p>
    <w:p w14:paraId="4919E189" w14:textId="0481AA0C" w:rsidR="005E5820" w:rsidRPr="0042261D" w:rsidRDefault="005E5820" w:rsidP="005E5820">
      <w:pPr>
        <w:pStyle w:val="ListParagraph"/>
        <w:numPr>
          <w:ilvl w:val="0"/>
          <w:numId w:val="1"/>
        </w:numPr>
        <w:rPr>
          <w:rFonts w:asciiTheme="minorHAnsi" w:hAnsiTheme="minorHAnsi"/>
        </w:rPr>
      </w:pPr>
      <w:r w:rsidRPr="0042261D">
        <w:rPr>
          <w:rFonts w:asciiTheme="minorHAnsi" w:hAnsiTheme="minorHAnsi"/>
        </w:rPr>
        <w:t>Contractors Supply</w:t>
      </w:r>
      <w:r w:rsidR="006F794E">
        <w:rPr>
          <w:rFonts w:asciiTheme="minorHAnsi" w:hAnsiTheme="minorHAnsi"/>
        </w:rPr>
        <w:t>,</w:t>
      </w:r>
      <w:r w:rsidRPr="0042261D">
        <w:rPr>
          <w:rFonts w:asciiTheme="minorHAnsi" w:hAnsiTheme="minorHAnsi"/>
        </w:rPr>
        <w:t xml:space="preserve"> Inc. is headquartered in East Providence, RI with additional locations in North Haven, CT and Boston, MA. </w:t>
      </w:r>
    </w:p>
    <w:p w14:paraId="00EE310C" w14:textId="77777777" w:rsidR="005E5820" w:rsidRPr="0042261D" w:rsidRDefault="005E5820" w:rsidP="005E5820">
      <w:pPr>
        <w:pStyle w:val="ListParagraph"/>
        <w:numPr>
          <w:ilvl w:val="0"/>
          <w:numId w:val="1"/>
        </w:numPr>
        <w:rPr>
          <w:rFonts w:asciiTheme="minorHAnsi" w:hAnsiTheme="minorHAnsi"/>
        </w:rPr>
      </w:pPr>
      <w:r w:rsidRPr="0042261D">
        <w:rPr>
          <w:rFonts w:asciiTheme="minorHAnsi" w:hAnsiTheme="minorHAnsi"/>
        </w:rPr>
        <w:t xml:space="preserve">For further inquiries, please contact us at </w:t>
      </w:r>
      <w:hyperlink r:id="rId10" w:history="1">
        <w:r w:rsidRPr="0042261D">
          <w:rPr>
            <w:rStyle w:val="Hyperlink"/>
            <w:rFonts w:asciiTheme="minorHAnsi" w:hAnsiTheme="minorHAnsi"/>
          </w:rPr>
          <w:t>contact@nexxbuild.com</w:t>
        </w:r>
      </w:hyperlink>
      <w:r w:rsidRPr="0042261D">
        <w:rPr>
          <w:rFonts w:asciiTheme="minorHAnsi" w:hAnsiTheme="minorHAnsi"/>
        </w:rPr>
        <w:t xml:space="preserve"> .</w:t>
      </w:r>
    </w:p>
    <w:p w14:paraId="14343458" w14:textId="77777777" w:rsidR="005E5820" w:rsidRPr="0042261D" w:rsidRDefault="005E5820" w:rsidP="00FA3959">
      <w:pPr>
        <w:rPr>
          <w:rFonts w:asciiTheme="minorHAnsi" w:hAnsiTheme="minorHAnsi"/>
          <w:b/>
        </w:rPr>
      </w:pPr>
    </w:p>
    <w:p w14:paraId="65DE44D5" w14:textId="6A4589B8" w:rsidR="008C0B5D" w:rsidRPr="0042261D" w:rsidRDefault="008C0B5D" w:rsidP="005E5820">
      <w:pPr>
        <w:rPr>
          <w:rFonts w:asciiTheme="minorHAnsi" w:hAnsiTheme="minorHAnsi"/>
          <w:b/>
        </w:rPr>
      </w:pPr>
      <w:r w:rsidRPr="0042261D">
        <w:rPr>
          <w:rFonts w:asciiTheme="minorHAnsi" w:hAnsiTheme="minorHAnsi"/>
          <w:b/>
        </w:rPr>
        <w:lastRenderedPageBreak/>
        <w:t>About IVCB:</w:t>
      </w:r>
    </w:p>
    <w:p w14:paraId="44D109D0" w14:textId="507E9718" w:rsidR="006F794E" w:rsidRPr="006F794E" w:rsidRDefault="006F794E" w:rsidP="006F794E">
      <w:pPr>
        <w:rPr>
          <w:rFonts w:asciiTheme="minorHAnsi" w:hAnsiTheme="minorHAnsi"/>
          <w:bCs/>
        </w:rPr>
      </w:pPr>
      <w:r w:rsidRPr="006F794E">
        <w:rPr>
          <w:rFonts w:asciiTheme="minorHAnsi" w:hAnsiTheme="minorHAnsi"/>
          <w:bCs/>
        </w:rPr>
        <w:t>Investcorp Europe Acquisition (IVCBF:US) is a special purpose acquisition company</w:t>
      </w:r>
      <w:r>
        <w:rPr>
          <w:rFonts w:asciiTheme="minorHAnsi" w:hAnsiTheme="minorHAnsi"/>
          <w:bCs/>
        </w:rPr>
        <w:t xml:space="preserve"> that seeks </w:t>
      </w:r>
      <w:r w:rsidRPr="006F794E">
        <w:rPr>
          <w:rFonts w:asciiTheme="minorHAnsi" w:hAnsiTheme="minorHAnsi"/>
          <w:bCs/>
        </w:rPr>
        <w:t>to leverage its expertise to create value and drive growth in the construction materials sector.</w:t>
      </w:r>
    </w:p>
    <w:p w14:paraId="55DFB409" w14:textId="7B8F5587" w:rsidR="005E5820" w:rsidRPr="0042261D" w:rsidRDefault="005E5820" w:rsidP="006F794E">
      <w:pPr>
        <w:rPr>
          <w:rFonts w:asciiTheme="minorHAnsi" w:hAnsiTheme="minorHAnsi"/>
          <w:b/>
        </w:rPr>
      </w:pPr>
      <w:r w:rsidRPr="0042261D">
        <w:rPr>
          <w:rFonts w:asciiTheme="minorHAnsi" w:hAnsiTheme="minorHAnsi"/>
          <w:b/>
        </w:rPr>
        <w:t xml:space="preserve">Participants in the Solicitation </w:t>
      </w:r>
    </w:p>
    <w:p w14:paraId="61C3A759" w14:textId="2790BF1F" w:rsidR="008C0B5D" w:rsidRPr="0042261D" w:rsidRDefault="005E5820" w:rsidP="008C0B5D">
      <w:pPr>
        <w:spacing w:after="0" w:line="240" w:lineRule="auto"/>
        <w:contextualSpacing/>
        <w:jc w:val="both"/>
        <w:rPr>
          <w:rFonts w:asciiTheme="minorHAnsi" w:hAnsiTheme="minorHAnsi"/>
          <w:bCs/>
        </w:rPr>
      </w:pPr>
      <w:r w:rsidRPr="0042261D">
        <w:rPr>
          <w:rFonts w:asciiTheme="minorHAnsi" w:hAnsiTheme="minorHAnsi"/>
          <w:bCs/>
        </w:rPr>
        <w:t>IVCB, nexxbuild, and their respective directors, executive officers, other members of management and employees may be deemed participants in the solicitation of proxies from IVCB’s shareholders with respect to the merger. Investors and securityholders may obtain more detailed information regarding the names and interests in the merger of the directors and officers of each of IVCB in the proxy statement/prospectus for the merger when available and in such companies’ respective filings with the SEC.</w:t>
      </w:r>
      <w:r w:rsidR="008C0B5D" w:rsidRPr="0042261D">
        <w:rPr>
          <w:rFonts w:asciiTheme="minorHAnsi" w:hAnsiTheme="minorHAnsi"/>
          <w:bCs/>
        </w:rPr>
        <w:t xml:space="preserve"> IVCB’s filings with the SEC, including, when filed with the SEC, the preliminary proxy statement/prospectus, the definitive proxy</w:t>
      </w:r>
    </w:p>
    <w:p w14:paraId="29F7F446" w14:textId="11A8023C" w:rsidR="008C0B5D" w:rsidRPr="0042261D" w:rsidRDefault="008C0B5D" w:rsidP="008C0B5D">
      <w:pPr>
        <w:spacing w:after="0" w:line="240" w:lineRule="auto"/>
        <w:contextualSpacing/>
        <w:jc w:val="both"/>
        <w:rPr>
          <w:rFonts w:asciiTheme="minorHAnsi" w:hAnsiTheme="minorHAnsi"/>
          <w:bCs/>
        </w:rPr>
      </w:pPr>
      <w:r w:rsidRPr="0042261D">
        <w:rPr>
          <w:rFonts w:asciiTheme="minorHAnsi" w:hAnsiTheme="minorHAnsi"/>
          <w:bCs/>
        </w:rPr>
        <w:t xml:space="preserve">statement/prospectus, amendments and supplements thereto, and other documents filed with the SEC. Such information with respect to nexxbuild’s </w:t>
      </w:r>
      <w:r w:rsidR="003B35A6">
        <w:rPr>
          <w:rFonts w:asciiTheme="minorHAnsi" w:hAnsiTheme="minorHAnsi"/>
          <w:bCs/>
        </w:rPr>
        <w:t>managers</w:t>
      </w:r>
      <w:r w:rsidRPr="0042261D">
        <w:rPr>
          <w:rFonts w:asciiTheme="minorHAnsi" w:hAnsiTheme="minorHAnsi"/>
          <w:bCs/>
        </w:rPr>
        <w:t xml:space="preserve"> and executive officers will also be included in the proxy statement/prospectus. You may obtain free copies of these documents as described below under the heading "Additional Information and Where to Find It".</w:t>
      </w:r>
    </w:p>
    <w:p w14:paraId="020AA1AD" w14:textId="2862ED55" w:rsidR="005E5820" w:rsidRPr="0042261D" w:rsidRDefault="005E5820" w:rsidP="008C0B5D">
      <w:pPr>
        <w:spacing w:after="0" w:line="240" w:lineRule="auto"/>
        <w:contextualSpacing/>
        <w:jc w:val="both"/>
        <w:rPr>
          <w:rFonts w:asciiTheme="minorHAnsi" w:hAnsiTheme="minorHAnsi"/>
          <w:bCs/>
        </w:rPr>
      </w:pPr>
    </w:p>
    <w:p w14:paraId="6CE92C9B" w14:textId="77777777" w:rsidR="005E5820" w:rsidRPr="0042261D" w:rsidRDefault="005E5820" w:rsidP="005E5820">
      <w:pPr>
        <w:rPr>
          <w:rFonts w:asciiTheme="minorHAnsi" w:hAnsiTheme="minorHAnsi"/>
          <w:b/>
        </w:rPr>
      </w:pPr>
      <w:r w:rsidRPr="0042261D">
        <w:rPr>
          <w:rFonts w:asciiTheme="minorHAnsi" w:hAnsiTheme="minorHAnsi"/>
          <w:b/>
        </w:rPr>
        <w:t xml:space="preserve">No Offer or Solicitation </w:t>
      </w:r>
    </w:p>
    <w:p w14:paraId="5CDFAFBC" w14:textId="7084D909" w:rsidR="005E5820" w:rsidRPr="0042261D" w:rsidRDefault="005E5820" w:rsidP="00FA3959">
      <w:pPr>
        <w:rPr>
          <w:rFonts w:asciiTheme="minorHAnsi" w:hAnsiTheme="minorHAnsi"/>
          <w:bCs/>
        </w:rPr>
      </w:pPr>
      <w:r w:rsidRPr="0042261D">
        <w:rPr>
          <w:rFonts w:asciiTheme="minorHAnsi" w:hAnsiTheme="minorHAnsi"/>
          <w:bCs/>
        </w:rPr>
        <w:t xml:space="preserve">This press release </w:t>
      </w:r>
      <w:r w:rsidR="008C0B5D" w:rsidRPr="0042261D">
        <w:rPr>
          <w:rFonts w:asciiTheme="minorHAnsi" w:hAnsiTheme="minorHAnsi"/>
          <w:bCs/>
        </w:rPr>
        <w:t>is not</w:t>
      </w:r>
      <w:r w:rsidRPr="0042261D">
        <w:rPr>
          <w:rFonts w:asciiTheme="minorHAnsi" w:hAnsiTheme="minorHAnsi"/>
          <w:bCs/>
        </w:rPr>
        <w:t xml:space="preserve"> a </w:t>
      </w:r>
      <w:r w:rsidR="008C0B5D" w:rsidRPr="0042261D">
        <w:rPr>
          <w:rFonts w:asciiTheme="minorHAnsi" w:hAnsiTheme="minorHAnsi"/>
          <w:bCs/>
        </w:rPr>
        <w:t xml:space="preserve">proxy statement or </w:t>
      </w:r>
      <w:r w:rsidRPr="0042261D">
        <w:rPr>
          <w:rFonts w:asciiTheme="minorHAnsi" w:hAnsiTheme="minorHAnsi"/>
          <w:bCs/>
        </w:rPr>
        <w:t>solicitation of a proxy, consent, or authorization with respect to any securities or in respect of the merger</w:t>
      </w:r>
      <w:r w:rsidR="008C0B5D" w:rsidRPr="0042261D">
        <w:rPr>
          <w:rFonts w:asciiTheme="minorHAnsi" w:hAnsiTheme="minorHAnsi"/>
          <w:bCs/>
        </w:rPr>
        <w:t xml:space="preserve">. The press release </w:t>
      </w:r>
      <w:r w:rsidRPr="0042261D">
        <w:rPr>
          <w:rFonts w:asciiTheme="minorHAnsi" w:hAnsiTheme="minorHAnsi"/>
          <w:bCs/>
        </w:rPr>
        <w:t>shall not constitute an offer to sell or the solicitation of an offer to buy any securities</w:t>
      </w:r>
      <w:r w:rsidR="008C0B5D" w:rsidRPr="0042261D">
        <w:rPr>
          <w:rFonts w:asciiTheme="minorHAnsi" w:hAnsiTheme="minorHAnsi"/>
          <w:bCs/>
        </w:rPr>
        <w:t xml:space="preserve"> of IVCB or nexxbuild</w:t>
      </w:r>
      <w:r w:rsidRPr="0042261D">
        <w:rPr>
          <w:rFonts w:asciiTheme="minorHAnsi" w:hAnsiTheme="minorHAnsi"/>
          <w:bCs/>
        </w:rPr>
        <w:t>, nor shall there be any sale of securities in any states or jurisdictions in which such offer, solicitation, or sale would be unlawful prior to registration or qualification under the securities laws of any such jurisdiction. No offer of securities shall be made except by means of a prospectus meeting the requirements the Securities Act of 1933, as amended.</w:t>
      </w:r>
    </w:p>
    <w:p w14:paraId="000F010A" w14:textId="15619D64" w:rsidR="00FA3959" w:rsidRPr="0042261D" w:rsidRDefault="00FA3959" w:rsidP="00FA3959">
      <w:pPr>
        <w:rPr>
          <w:rFonts w:asciiTheme="minorHAnsi" w:hAnsiTheme="minorHAnsi"/>
          <w:b/>
        </w:rPr>
      </w:pPr>
      <w:r w:rsidRPr="0042261D">
        <w:rPr>
          <w:rFonts w:asciiTheme="minorHAnsi" w:hAnsiTheme="minorHAnsi"/>
          <w:b/>
        </w:rPr>
        <w:t xml:space="preserve">Forward-Looking Statements </w:t>
      </w:r>
    </w:p>
    <w:p w14:paraId="20D99AEA" w14:textId="38D76A80" w:rsidR="007F7FA4" w:rsidRPr="0042261D" w:rsidRDefault="007F7FA4" w:rsidP="007F7FA4">
      <w:pPr>
        <w:spacing w:after="0" w:line="240" w:lineRule="auto"/>
        <w:contextualSpacing/>
        <w:jc w:val="both"/>
        <w:rPr>
          <w:rFonts w:asciiTheme="minorHAnsi" w:hAnsiTheme="minorHAnsi" w:cs="Times New Roman"/>
        </w:rPr>
      </w:pPr>
      <w:r w:rsidRPr="0042261D">
        <w:rPr>
          <w:rFonts w:asciiTheme="minorHAnsi" w:hAnsiTheme="minorHAnsi" w:cs="Times New Roman"/>
        </w:rPr>
        <w:t xml:space="preserve">This press release includes forward-looking statements within the meaning of the federal securities laws with respect to the proposed transaction between nexxbuild and IVCB and between nexxbuild and CSI (collectively, the “Transactions”). Forward-looking statements are statements that are not historical facts. Such forward-looking statements are subject to risks and uncertainties, which could cause actual results to differ from the forward-looking statements. These forward-looking statements generally are identified by the words </w:t>
      </w:r>
      <w:r w:rsidRPr="0042261D">
        <w:rPr>
          <w:rFonts w:asciiTheme="minorHAnsi" w:hAnsiTheme="minorHAnsi" w:cs="Times New Roman"/>
        </w:rPr>
        <w:lastRenderedPageBreak/>
        <w:t>“believe,” “project,” “expect,” “anticipate,” “estimate,” “intend,” “think,” “strategy,” “future,” “opportunity,” “potential,” “plan,” “seeks,” “may,” “should,” “will,” “would,” “will be,” “will continue,” “will likely result,” and similar expressions, but the absence of these words does not mean that a statement is not forward-looking. Forward-looking statements are predictions, projections and other statements about future events that are based on current expectations and assumptions and, as a result, are subject to risks and uncertainties.</w:t>
      </w:r>
    </w:p>
    <w:p w14:paraId="5718CCD0" w14:textId="77777777" w:rsidR="007F7FA4" w:rsidRPr="0042261D" w:rsidRDefault="007F7FA4" w:rsidP="007F7FA4">
      <w:pPr>
        <w:spacing w:after="0" w:line="240" w:lineRule="auto"/>
        <w:contextualSpacing/>
        <w:jc w:val="both"/>
        <w:rPr>
          <w:rFonts w:asciiTheme="minorHAnsi" w:hAnsiTheme="minorHAnsi" w:cs="Times New Roman"/>
        </w:rPr>
      </w:pPr>
    </w:p>
    <w:p w14:paraId="05E90838" w14:textId="3A305FE7" w:rsidR="00F321FC" w:rsidRPr="0042261D" w:rsidRDefault="007F7FA4" w:rsidP="0042261D">
      <w:pPr>
        <w:spacing w:after="0" w:line="240" w:lineRule="auto"/>
        <w:contextualSpacing/>
        <w:jc w:val="both"/>
        <w:rPr>
          <w:rFonts w:asciiTheme="minorHAnsi" w:hAnsiTheme="minorHAnsi" w:cs="Times New Roman"/>
        </w:rPr>
      </w:pPr>
      <w:r w:rsidRPr="0042261D">
        <w:rPr>
          <w:rFonts w:asciiTheme="minorHAnsi" w:hAnsiTheme="minorHAnsi" w:cs="Times New Roman"/>
        </w:rPr>
        <w:t>These forward-looking statements are provided for illustrative purposes only and are not intended to serve as, and must not be relied on as, a guarantee, an assurance, a prediction or a definitive statement of fact or probability. Actual events and circumstances are difficult or impossible to predict and will differ from assumptions. Many factors could cause actual future events to differ materially from the forward-looking statements in this communication, including but not limited to: (</w:t>
      </w:r>
      <w:proofErr w:type="spellStart"/>
      <w:r w:rsidRPr="0042261D">
        <w:rPr>
          <w:rFonts w:asciiTheme="minorHAnsi" w:hAnsiTheme="minorHAnsi" w:cs="Times New Roman"/>
        </w:rPr>
        <w:t>i</w:t>
      </w:r>
      <w:proofErr w:type="spellEnd"/>
      <w:r w:rsidRPr="0042261D">
        <w:rPr>
          <w:rFonts w:asciiTheme="minorHAnsi" w:hAnsiTheme="minorHAnsi" w:cs="Times New Roman"/>
        </w:rPr>
        <w:t>) the risk that the Transactions may not be completed in a timely manner or at all; (ii) the occurrence of any event, change or other circumstance that could give rise to the termination of the business combination agreement; (iii) the failure to achieve the minimum amount of cash available following any redemptions by IVCB’s stockholders; (iv) redemptions exceeding anticipated levels or the failure to meet initial listing standards in connection with the consummation of the Transaction</w:t>
      </w:r>
      <w:r w:rsidR="0042261D" w:rsidRPr="0042261D">
        <w:rPr>
          <w:rFonts w:asciiTheme="minorHAnsi" w:hAnsiTheme="minorHAnsi" w:cs="Times New Roman"/>
        </w:rPr>
        <w:t>s</w:t>
      </w:r>
      <w:r w:rsidRPr="0042261D">
        <w:rPr>
          <w:rFonts w:asciiTheme="minorHAnsi" w:hAnsiTheme="minorHAnsi" w:cs="Times New Roman"/>
        </w:rPr>
        <w:t>; (v) the effect of the announcement or pendency of the Transaction</w:t>
      </w:r>
      <w:r w:rsidR="0042261D" w:rsidRPr="0042261D">
        <w:rPr>
          <w:rFonts w:asciiTheme="minorHAnsi" w:hAnsiTheme="minorHAnsi" w:cs="Times New Roman"/>
        </w:rPr>
        <w:t>s</w:t>
      </w:r>
      <w:r w:rsidRPr="0042261D">
        <w:rPr>
          <w:rFonts w:asciiTheme="minorHAnsi" w:hAnsiTheme="minorHAnsi" w:cs="Times New Roman"/>
        </w:rPr>
        <w:t xml:space="preserve"> on </w:t>
      </w:r>
      <w:r w:rsidR="0042261D" w:rsidRPr="0042261D">
        <w:rPr>
          <w:rFonts w:asciiTheme="minorHAnsi" w:hAnsiTheme="minorHAnsi" w:cs="Times New Roman"/>
        </w:rPr>
        <w:t>nexxbuild or CSI</w:t>
      </w:r>
      <w:r w:rsidRPr="0042261D">
        <w:rPr>
          <w:rFonts w:asciiTheme="minorHAnsi" w:hAnsiTheme="minorHAnsi" w:cs="Times New Roman"/>
        </w:rPr>
        <w:t>’s business relationships, operating results, and business generally; (vi) changes in the markets in which</w:t>
      </w:r>
      <w:r w:rsidR="0042261D" w:rsidRPr="0042261D">
        <w:rPr>
          <w:rFonts w:asciiTheme="minorHAnsi" w:hAnsiTheme="minorHAnsi" w:cs="Times New Roman"/>
        </w:rPr>
        <w:t xml:space="preserve"> nexxbuild or CSI </w:t>
      </w:r>
      <w:r w:rsidRPr="0042261D">
        <w:rPr>
          <w:rFonts w:asciiTheme="minorHAnsi" w:hAnsiTheme="minorHAnsi" w:cs="Times New Roman"/>
        </w:rPr>
        <w:t xml:space="preserve">competes, including with respect to its competitive landscape, technology evolution, or regulatory changes; (vii) changes in domestic and global general economic conditions; (viii) costs related to the </w:t>
      </w:r>
      <w:r w:rsidR="0042261D" w:rsidRPr="0042261D">
        <w:rPr>
          <w:rFonts w:asciiTheme="minorHAnsi" w:hAnsiTheme="minorHAnsi" w:cs="Times New Roman"/>
        </w:rPr>
        <w:t>Transactions</w:t>
      </w:r>
      <w:r w:rsidRPr="0042261D">
        <w:rPr>
          <w:rFonts w:asciiTheme="minorHAnsi" w:hAnsiTheme="minorHAnsi" w:cs="Times New Roman"/>
        </w:rPr>
        <w:t xml:space="preserve"> and the failure to realize anticipated benefits of the transaction or to realize estimated pro forma results and underlying assumptions, including with respect to estimated stockholder redemptions; (ix) the ability to recognize the anticipated benefits of the Transaction</w:t>
      </w:r>
      <w:r w:rsidR="0042261D" w:rsidRPr="0042261D">
        <w:rPr>
          <w:rFonts w:asciiTheme="minorHAnsi" w:hAnsiTheme="minorHAnsi" w:cs="Times New Roman"/>
        </w:rPr>
        <w:t>s</w:t>
      </w:r>
      <w:r w:rsidRPr="0042261D">
        <w:rPr>
          <w:rFonts w:asciiTheme="minorHAnsi" w:hAnsiTheme="minorHAnsi" w:cs="Times New Roman"/>
        </w:rPr>
        <w:t xml:space="preserve"> and to achieve its commercialization and development plans, and identify and realize additional opportunities, which may be affected by, among other things, competition, the ability of </w:t>
      </w:r>
      <w:r w:rsidR="0042261D" w:rsidRPr="0042261D">
        <w:rPr>
          <w:rFonts w:asciiTheme="minorHAnsi" w:hAnsiTheme="minorHAnsi" w:cs="Times New Roman"/>
        </w:rPr>
        <w:t xml:space="preserve">nexxbuild and CSI </w:t>
      </w:r>
      <w:r w:rsidRPr="0042261D">
        <w:rPr>
          <w:rFonts w:asciiTheme="minorHAnsi" w:hAnsiTheme="minorHAnsi" w:cs="Times New Roman"/>
        </w:rPr>
        <w:t>to grow and manage growth economically and hire and retain key employees and to develop</w:t>
      </w:r>
      <w:r w:rsidR="0042261D" w:rsidRPr="0042261D">
        <w:rPr>
          <w:rFonts w:asciiTheme="minorHAnsi" w:hAnsiTheme="minorHAnsi" w:cs="Times New Roman"/>
        </w:rPr>
        <w:t xml:space="preserve"> and</w:t>
      </w:r>
      <w:r w:rsidRPr="0042261D">
        <w:rPr>
          <w:rFonts w:asciiTheme="minorHAnsi" w:hAnsiTheme="minorHAnsi" w:cs="Times New Roman"/>
        </w:rPr>
        <w:t xml:space="preserve"> acquire </w:t>
      </w:r>
      <w:r w:rsidR="0042261D" w:rsidRPr="0042261D">
        <w:rPr>
          <w:rFonts w:asciiTheme="minorHAnsi" w:hAnsiTheme="minorHAnsi" w:cs="Times New Roman"/>
        </w:rPr>
        <w:t>other construction supply platforms</w:t>
      </w:r>
      <w:r w:rsidRPr="0042261D">
        <w:rPr>
          <w:rFonts w:asciiTheme="minorHAnsi" w:hAnsiTheme="minorHAnsi" w:cs="Times New Roman"/>
        </w:rPr>
        <w:t xml:space="preserve">; (x) the risk that </w:t>
      </w:r>
      <w:r w:rsidR="0042261D" w:rsidRPr="0042261D">
        <w:rPr>
          <w:rFonts w:asciiTheme="minorHAnsi" w:hAnsiTheme="minorHAnsi" w:cs="Times New Roman"/>
        </w:rPr>
        <w:t>CSI</w:t>
      </w:r>
      <w:r w:rsidRPr="0042261D">
        <w:rPr>
          <w:rFonts w:asciiTheme="minorHAnsi" w:hAnsiTheme="minorHAnsi" w:cs="Times New Roman"/>
        </w:rPr>
        <w:t xml:space="preserve"> may fail to keep pace with rapid technological developments to provide new and innovative products and services;</w:t>
      </w:r>
      <w:r w:rsidR="0042261D" w:rsidRPr="0042261D">
        <w:rPr>
          <w:rFonts w:asciiTheme="minorHAnsi" w:hAnsiTheme="minorHAnsi" w:cs="Times New Roman"/>
        </w:rPr>
        <w:t xml:space="preserve"> </w:t>
      </w:r>
      <w:r w:rsidRPr="0042261D">
        <w:rPr>
          <w:rFonts w:asciiTheme="minorHAnsi" w:hAnsiTheme="minorHAnsi" w:cs="Times New Roman"/>
        </w:rPr>
        <w:t xml:space="preserve">and (xi) those factors discussed in </w:t>
      </w:r>
      <w:r w:rsidR="0042261D" w:rsidRPr="0042261D">
        <w:rPr>
          <w:rFonts w:asciiTheme="minorHAnsi" w:hAnsiTheme="minorHAnsi" w:cs="Times New Roman"/>
        </w:rPr>
        <w:t>IVCB</w:t>
      </w:r>
      <w:r w:rsidRPr="0042261D">
        <w:rPr>
          <w:rFonts w:asciiTheme="minorHAnsi" w:hAnsiTheme="minorHAnsi" w:cs="Times New Roman"/>
        </w:rPr>
        <w:t>’s filings with the</w:t>
      </w:r>
      <w:r w:rsidR="007533AD" w:rsidRPr="0042261D">
        <w:rPr>
          <w:rFonts w:asciiTheme="minorHAnsi" w:hAnsiTheme="minorHAnsi"/>
          <w:bCs/>
        </w:rPr>
        <w:t xml:space="preserve"> Securities and Exchange Commission (the “SEC”) </w:t>
      </w:r>
      <w:r w:rsidRPr="0042261D">
        <w:rPr>
          <w:rFonts w:asciiTheme="minorHAnsi" w:hAnsiTheme="minorHAnsi" w:cs="Times New Roman"/>
        </w:rPr>
        <w:t xml:space="preserve">and that that will be contained in the proxy statement/prospectus relating to the </w:t>
      </w:r>
      <w:r w:rsidR="0042261D" w:rsidRPr="0042261D">
        <w:rPr>
          <w:rFonts w:asciiTheme="minorHAnsi" w:hAnsiTheme="minorHAnsi" w:cs="Times New Roman"/>
        </w:rPr>
        <w:t>Transactions</w:t>
      </w:r>
      <w:r w:rsidRPr="0042261D">
        <w:rPr>
          <w:rFonts w:asciiTheme="minorHAnsi" w:hAnsiTheme="minorHAnsi" w:cs="Times New Roman"/>
        </w:rPr>
        <w:t xml:space="preserve">. </w:t>
      </w:r>
    </w:p>
    <w:p w14:paraId="3AFC4301" w14:textId="77777777" w:rsidR="00F321FC" w:rsidRPr="0042261D" w:rsidRDefault="00F321FC" w:rsidP="007F7FA4">
      <w:pPr>
        <w:spacing w:after="0" w:line="240" w:lineRule="auto"/>
        <w:contextualSpacing/>
        <w:jc w:val="both"/>
        <w:rPr>
          <w:rFonts w:asciiTheme="minorHAnsi" w:hAnsiTheme="minorHAnsi" w:cs="Times New Roman"/>
        </w:rPr>
      </w:pPr>
    </w:p>
    <w:p w14:paraId="11AAC1C4" w14:textId="71119E3B" w:rsidR="007F7FA4" w:rsidRPr="0042261D" w:rsidRDefault="007F7FA4" w:rsidP="007F7FA4">
      <w:pPr>
        <w:spacing w:after="0" w:line="240" w:lineRule="auto"/>
        <w:contextualSpacing/>
        <w:jc w:val="both"/>
        <w:rPr>
          <w:rFonts w:asciiTheme="minorHAnsi" w:hAnsiTheme="minorHAnsi" w:cs="Times New Roman"/>
        </w:rPr>
      </w:pPr>
      <w:r w:rsidRPr="0042261D">
        <w:rPr>
          <w:rFonts w:asciiTheme="minorHAnsi" w:hAnsiTheme="minorHAnsi" w:cs="Times New Roman"/>
        </w:rPr>
        <w:t xml:space="preserve">The foregoing list of factors is not exhaustive. </w:t>
      </w:r>
      <w:r w:rsidR="00F321FC" w:rsidRPr="0042261D">
        <w:rPr>
          <w:rFonts w:asciiTheme="minorHAnsi" w:hAnsiTheme="minorHAnsi" w:cs="Times New Roman"/>
        </w:rPr>
        <w:t>And f</w:t>
      </w:r>
      <w:r w:rsidRPr="0042261D">
        <w:rPr>
          <w:rFonts w:asciiTheme="minorHAnsi" w:hAnsiTheme="minorHAnsi" w:cs="Times New Roman"/>
        </w:rPr>
        <w:t xml:space="preserve">orward-looking statements speak only as of the date </w:t>
      </w:r>
      <w:r w:rsidR="00F321FC" w:rsidRPr="0042261D">
        <w:rPr>
          <w:rFonts w:asciiTheme="minorHAnsi" w:hAnsiTheme="minorHAnsi" w:cs="Times New Roman"/>
        </w:rPr>
        <w:t>of this press release</w:t>
      </w:r>
      <w:r w:rsidRPr="0042261D">
        <w:rPr>
          <w:rFonts w:asciiTheme="minorHAnsi" w:hAnsiTheme="minorHAnsi" w:cs="Times New Roman"/>
        </w:rPr>
        <w:t xml:space="preserve">. </w:t>
      </w:r>
      <w:r w:rsidR="00F321FC" w:rsidRPr="0042261D">
        <w:rPr>
          <w:rFonts w:asciiTheme="minorHAnsi" w:hAnsiTheme="minorHAnsi" w:cs="Times New Roman"/>
        </w:rPr>
        <w:t>Accordingly, these forward-looking statements should not be relied upon as representing IVCB, nexxbuild, or CSI’s assessments as of any date after the date of this press release. Further, r</w:t>
      </w:r>
      <w:r w:rsidRPr="0042261D">
        <w:rPr>
          <w:rFonts w:asciiTheme="minorHAnsi" w:hAnsiTheme="minorHAnsi" w:cs="Times New Roman"/>
        </w:rPr>
        <w:t>eaders are cautioned not to put undue reliance on forward-looking statements</w:t>
      </w:r>
      <w:r w:rsidR="00F321FC" w:rsidRPr="0042261D">
        <w:rPr>
          <w:rFonts w:asciiTheme="minorHAnsi" w:hAnsiTheme="minorHAnsi" w:cs="Times New Roman"/>
        </w:rPr>
        <w:t>. W</w:t>
      </w:r>
      <w:r w:rsidRPr="0042261D">
        <w:rPr>
          <w:rFonts w:asciiTheme="minorHAnsi" w:hAnsiTheme="minorHAnsi" w:cs="Times New Roman"/>
        </w:rPr>
        <w:t xml:space="preserve">hile </w:t>
      </w:r>
      <w:r w:rsidR="00F321FC" w:rsidRPr="0042261D">
        <w:rPr>
          <w:rFonts w:asciiTheme="minorHAnsi" w:hAnsiTheme="minorHAnsi" w:cs="Times New Roman"/>
        </w:rPr>
        <w:t>IVCB and nexxbuild</w:t>
      </w:r>
      <w:r w:rsidRPr="0042261D">
        <w:rPr>
          <w:rFonts w:asciiTheme="minorHAnsi" w:hAnsiTheme="minorHAnsi" w:cs="Times New Roman"/>
        </w:rPr>
        <w:t xml:space="preserve"> may elect to update these forward-</w:t>
      </w:r>
      <w:r w:rsidRPr="0042261D">
        <w:rPr>
          <w:rFonts w:asciiTheme="minorHAnsi" w:hAnsiTheme="minorHAnsi" w:cs="Times New Roman"/>
        </w:rPr>
        <w:lastRenderedPageBreak/>
        <w:t xml:space="preserve">looking statements at some point in the future, they assume no obligation to update or revise these forward-looking statements, whether because of new information, future events or otherwise, except as required by applicable law. Neither of </w:t>
      </w:r>
      <w:r w:rsidR="00F321FC" w:rsidRPr="0042261D">
        <w:rPr>
          <w:rFonts w:asciiTheme="minorHAnsi" w:hAnsiTheme="minorHAnsi" w:cs="Times New Roman"/>
        </w:rPr>
        <w:t>IVCB nor nexxbuild</w:t>
      </w:r>
      <w:r w:rsidRPr="0042261D">
        <w:rPr>
          <w:rFonts w:asciiTheme="minorHAnsi" w:hAnsiTheme="minorHAnsi" w:cs="Times New Roman"/>
        </w:rPr>
        <w:t xml:space="preserve"> gives any assurance that </w:t>
      </w:r>
      <w:r w:rsidR="00F321FC" w:rsidRPr="0042261D">
        <w:rPr>
          <w:rFonts w:asciiTheme="minorHAnsi" w:hAnsiTheme="minorHAnsi" w:cs="Times New Roman"/>
        </w:rPr>
        <w:t>IVCB or nexxbuild</w:t>
      </w:r>
      <w:r w:rsidRPr="0042261D">
        <w:rPr>
          <w:rFonts w:asciiTheme="minorHAnsi" w:hAnsiTheme="minorHAnsi" w:cs="Times New Roman"/>
        </w:rPr>
        <w:t xml:space="preserve">, or the combined company, will achieve its expectations. Forward-looking statements are subject to numerous conditions, many of which are beyond the control of </w:t>
      </w:r>
      <w:r w:rsidR="00F321FC" w:rsidRPr="0042261D">
        <w:rPr>
          <w:rFonts w:asciiTheme="minorHAnsi" w:hAnsiTheme="minorHAnsi" w:cs="Times New Roman"/>
        </w:rPr>
        <w:t>IVCB and/or nexxbuild. You should carefully consider the foregoing factors and the other risks and uncertainties that will be described in the “Risk Factors” section of the proxy statement/prospectus and the amendments thereto, the definitive proxy statement/prospectus</w:t>
      </w:r>
      <w:r w:rsidR="007533AD" w:rsidRPr="0042261D">
        <w:rPr>
          <w:rFonts w:asciiTheme="minorHAnsi" w:hAnsiTheme="minorHAnsi" w:cs="Times New Roman"/>
        </w:rPr>
        <w:t xml:space="preserve"> to be filed in connection with the Transactions</w:t>
      </w:r>
      <w:r w:rsidR="00F321FC" w:rsidRPr="0042261D">
        <w:rPr>
          <w:rFonts w:asciiTheme="minorHAnsi" w:hAnsiTheme="minorHAnsi" w:cs="Times New Roman"/>
        </w:rPr>
        <w:t>, and other documents to be filed by IVCB from time to time with the SEC</w:t>
      </w:r>
      <w:r w:rsidR="007533AD" w:rsidRPr="0042261D">
        <w:rPr>
          <w:rFonts w:asciiTheme="minorHAnsi" w:hAnsiTheme="minorHAnsi" w:cs="Times New Roman"/>
        </w:rPr>
        <w:t xml:space="preserve">, </w:t>
      </w:r>
      <w:r w:rsidR="007533AD" w:rsidRPr="000E2123">
        <w:rPr>
          <w:rFonts w:asciiTheme="minorHAnsi" w:hAnsiTheme="minorHAnsi" w:cs="Times New Roman"/>
          <w:bCs/>
        </w:rPr>
        <w:t xml:space="preserve">including its Annual Report on Form 10-K for the year ended December 31, 2023 filed with the SEC on April 11, 2024 </w:t>
      </w:r>
      <w:r w:rsidR="007533AD" w:rsidRPr="0042261D">
        <w:rPr>
          <w:rFonts w:asciiTheme="minorHAnsi" w:hAnsiTheme="minorHAnsi" w:cs="Times New Roman"/>
          <w:bCs/>
        </w:rPr>
        <w:t xml:space="preserve">and </w:t>
      </w:r>
      <w:r w:rsidR="007533AD" w:rsidRPr="000E2123">
        <w:rPr>
          <w:rFonts w:asciiTheme="minorHAnsi" w:hAnsiTheme="minorHAnsi" w:cs="Times New Roman"/>
          <w:bCs/>
        </w:rPr>
        <w:t>any subsequent filings. All forward-looking statements are expressly qualified in their entirety by such factors</w:t>
      </w:r>
      <w:r w:rsidR="00F321FC" w:rsidRPr="0042261D">
        <w:rPr>
          <w:rFonts w:asciiTheme="minorHAnsi" w:hAnsiTheme="minorHAnsi" w:cs="Times New Roman"/>
        </w:rPr>
        <w:t>. These filings identify and address other important risks and uncertainties that could cause actual events and results to differ materially from those contained in the forward-looking statements.</w:t>
      </w:r>
      <w:r w:rsidR="007533AD" w:rsidRPr="0042261D">
        <w:rPr>
          <w:rFonts w:asciiTheme="minorHAnsi" w:hAnsiTheme="minorHAnsi" w:cs="Times New Roman"/>
        </w:rPr>
        <w:t xml:space="preserve"> Copies will be available on the SEC's website, www.sec.gov.</w:t>
      </w:r>
    </w:p>
    <w:p w14:paraId="3E215C2A" w14:textId="77777777" w:rsidR="007F7FA4" w:rsidRPr="0042261D" w:rsidRDefault="007F7FA4" w:rsidP="00FA3959">
      <w:pPr>
        <w:rPr>
          <w:rFonts w:asciiTheme="minorHAnsi" w:hAnsiTheme="minorHAnsi"/>
          <w:b/>
        </w:rPr>
      </w:pPr>
    </w:p>
    <w:p w14:paraId="22AB7DDD" w14:textId="3267407A" w:rsidR="00FA3959" w:rsidRPr="0042261D" w:rsidRDefault="00FA3959" w:rsidP="00FA3959">
      <w:pPr>
        <w:rPr>
          <w:rFonts w:asciiTheme="minorHAnsi" w:hAnsiTheme="minorHAnsi"/>
          <w:b/>
        </w:rPr>
      </w:pPr>
      <w:r w:rsidRPr="0042261D">
        <w:rPr>
          <w:rFonts w:asciiTheme="minorHAnsi" w:hAnsiTheme="minorHAnsi"/>
          <w:b/>
        </w:rPr>
        <w:t xml:space="preserve">Additional Information and Where to Find It </w:t>
      </w:r>
    </w:p>
    <w:p w14:paraId="28085C08" w14:textId="373A2AAB" w:rsidR="00FA3959" w:rsidRPr="0042261D" w:rsidRDefault="00FA3959" w:rsidP="00FA3959">
      <w:pPr>
        <w:rPr>
          <w:rFonts w:asciiTheme="minorHAnsi" w:hAnsiTheme="minorHAnsi"/>
          <w:bCs/>
        </w:rPr>
      </w:pPr>
      <w:r w:rsidRPr="0042261D">
        <w:rPr>
          <w:rFonts w:asciiTheme="minorHAnsi" w:hAnsiTheme="minorHAnsi"/>
          <w:bCs/>
        </w:rPr>
        <w:t xml:space="preserve">In connection with the </w:t>
      </w:r>
      <w:r w:rsidR="007533AD" w:rsidRPr="0042261D">
        <w:rPr>
          <w:rFonts w:asciiTheme="minorHAnsi" w:hAnsiTheme="minorHAnsi"/>
          <w:bCs/>
        </w:rPr>
        <w:t>Transactions</w:t>
      </w:r>
      <w:r w:rsidRPr="0042261D">
        <w:rPr>
          <w:rFonts w:asciiTheme="minorHAnsi" w:hAnsiTheme="minorHAnsi"/>
          <w:bCs/>
        </w:rPr>
        <w:t xml:space="preserve">, IVCB intends to file with the </w:t>
      </w:r>
      <w:r w:rsidR="007533AD" w:rsidRPr="0042261D">
        <w:rPr>
          <w:rFonts w:asciiTheme="minorHAnsi" w:hAnsiTheme="minorHAnsi"/>
          <w:bCs/>
        </w:rPr>
        <w:t xml:space="preserve">SEC </w:t>
      </w:r>
      <w:r w:rsidRPr="0042261D">
        <w:rPr>
          <w:rFonts w:asciiTheme="minorHAnsi" w:hAnsiTheme="minorHAnsi"/>
          <w:bCs/>
        </w:rPr>
        <w:t xml:space="preserve">a registration statement on Form S-4 (the “Registration Statement”), which will be both the proxy statement to be distributed to the shareholders of IVCB in connection with IVCB’s solicitation of proxies for the vote by its shareholders with respect to the proposed </w:t>
      </w:r>
      <w:r w:rsidR="00AA0B1D" w:rsidRPr="0042261D">
        <w:rPr>
          <w:rFonts w:asciiTheme="minorHAnsi" w:hAnsiTheme="minorHAnsi"/>
          <w:bCs/>
        </w:rPr>
        <w:t>transaction</w:t>
      </w:r>
      <w:r w:rsidRPr="0042261D">
        <w:rPr>
          <w:rFonts w:asciiTheme="minorHAnsi" w:hAnsiTheme="minorHAnsi"/>
          <w:bCs/>
        </w:rPr>
        <w:t xml:space="preserve"> and other matters as may be described in the definitive proxy statement/prospectus, as well as a prospectus relating to the offer and sale of the securities to be issued in </w:t>
      </w:r>
      <w:r w:rsidR="007533AD" w:rsidRPr="0042261D">
        <w:rPr>
          <w:rFonts w:asciiTheme="minorHAnsi" w:hAnsiTheme="minorHAnsi"/>
          <w:bCs/>
        </w:rPr>
        <w:t>the Transactions</w:t>
      </w:r>
      <w:r w:rsidRPr="0042261D">
        <w:rPr>
          <w:rFonts w:asciiTheme="minorHAnsi" w:hAnsiTheme="minorHAnsi"/>
          <w:bCs/>
        </w:rPr>
        <w:t>. Shareholders are encouraged to read the Registration Statement, when available, as it will contain important information.</w:t>
      </w:r>
    </w:p>
    <w:p w14:paraId="63BF6317" w14:textId="6C18C072" w:rsidR="00FA3959" w:rsidRPr="0042261D" w:rsidRDefault="00FA3959" w:rsidP="00FA3959">
      <w:pPr>
        <w:rPr>
          <w:rFonts w:asciiTheme="minorHAnsi" w:hAnsiTheme="minorHAnsi"/>
          <w:bCs/>
        </w:rPr>
      </w:pPr>
      <w:r w:rsidRPr="0042261D">
        <w:rPr>
          <w:rFonts w:asciiTheme="minorHAnsi" w:hAnsiTheme="minorHAnsi"/>
          <w:bCs/>
        </w:rPr>
        <w:t xml:space="preserve">This press release does not contain any information that should be considered by IVCB’s shareholders or nexxbuild’s </w:t>
      </w:r>
      <w:r w:rsidR="00AA0B1D" w:rsidRPr="0042261D">
        <w:rPr>
          <w:rFonts w:asciiTheme="minorHAnsi" w:hAnsiTheme="minorHAnsi"/>
          <w:bCs/>
        </w:rPr>
        <w:t>members</w:t>
      </w:r>
      <w:r w:rsidRPr="0042261D">
        <w:rPr>
          <w:rFonts w:asciiTheme="minorHAnsi" w:hAnsiTheme="minorHAnsi"/>
          <w:bCs/>
        </w:rPr>
        <w:t xml:space="preserve"> concerning the</w:t>
      </w:r>
      <w:r w:rsidR="0042261D" w:rsidRPr="0042261D">
        <w:rPr>
          <w:rFonts w:asciiTheme="minorHAnsi" w:hAnsiTheme="minorHAnsi"/>
          <w:bCs/>
        </w:rPr>
        <w:t xml:space="preserve"> Transactions </w:t>
      </w:r>
      <w:r w:rsidRPr="0042261D">
        <w:rPr>
          <w:rFonts w:asciiTheme="minorHAnsi" w:hAnsiTheme="minorHAnsi"/>
          <w:bCs/>
        </w:rPr>
        <w:t xml:space="preserve">and is not intended to constitute the basis of any voting or investment decision in respect of the proposed </w:t>
      </w:r>
      <w:r w:rsidR="00766ACA" w:rsidRPr="0042261D">
        <w:rPr>
          <w:rFonts w:asciiTheme="minorHAnsi" w:hAnsiTheme="minorHAnsi"/>
          <w:bCs/>
        </w:rPr>
        <w:t>transaction</w:t>
      </w:r>
      <w:r w:rsidRPr="0042261D">
        <w:rPr>
          <w:rFonts w:asciiTheme="minorHAnsi" w:hAnsiTheme="minorHAnsi"/>
          <w:bCs/>
        </w:rPr>
        <w:t xml:space="preserve"> or the securities of the combined company. The respective shareholders of IVCB and nexxbuild and other interested persons are advised to read, when available, the </w:t>
      </w:r>
      <w:proofErr w:type="spellStart"/>
      <w:r w:rsidR="0042261D" w:rsidRPr="0042261D">
        <w:rPr>
          <w:rFonts w:asciiTheme="minorHAnsi" w:hAnsiTheme="minorHAnsi"/>
          <w:bCs/>
        </w:rPr>
        <w:t>the</w:t>
      </w:r>
      <w:proofErr w:type="spellEnd"/>
      <w:r w:rsidR="0042261D" w:rsidRPr="0042261D">
        <w:rPr>
          <w:rFonts w:asciiTheme="minorHAnsi" w:hAnsiTheme="minorHAnsi"/>
          <w:bCs/>
        </w:rPr>
        <w:t xml:space="preserve"> Registration Statement </w:t>
      </w:r>
      <w:r w:rsidRPr="0042261D">
        <w:rPr>
          <w:rFonts w:asciiTheme="minorHAnsi" w:hAnsiTheme="minorHAnsi"/>
          <w:bCs/>
        </w:rPr>
        <w:t xml:space="preserve">and documents incorporated by reference therein filed in connection with the </w:t>
      </w:r>
      <w:r w:rsidR="0042261D" w:rsidRPr="0042261D">
        <w:rPr>
          <w:rFonts w:asciiTheme="minorHAnsi" w:hAnsiTheme="minorHAnsi"/>
          <w:bCs/>
        </w:rPr>
        <w:t>Transactions</w:t>
      </w:r>
      <w:r w:rsidRPr="0042261D">
        <w:rPr>
          <w:rFonts w:asciiTheme="minorHAnsi" w:hAnsiTheme="minorHAnsi"/>
          <w:bCs/>
        </w:rPr>
        <w:t xml:space="preserve">, as these materials will contain important information about IVCB, nexxbuild, </w:t>
      </w:r>
      <w:r w:rsidR="0042261D" w:rsidRPr="0042261D">
        <w:rPr>
          <w:rFonts w:asciiTheme="minorHAnsi" w:hAnsiTheme="minorHAnsi"/>
          <w:bCs/>
        </w:rPr>
        <w:t>CSI and the Transactions</w:t>
      </w:r>
      <w:r w:rsidRPr="0042261D">
        <w:rPr>
          <w:rFonts w:asciiTheme="minorHAnsi" w:hAnsiTheme="minorHAnsi"/>
          <w:bCs/>
        </w:rPr>
        <w:t xml:space="preserve">. </w:t>
      </w:r>
    </w:p>
    <w:p w14:paraId="0000001B" w14:textId="77777777" w:rsidR="0071153B" w:rsidRPr="0042261D" w:rsidRDefault="0071153B">
      <w:pPr>
        <w:rPr>
          <w:rFonts w:asciiTheme="minorHAnsi" w:hAnsiTheme="minorHAnsi"/>
        </w:rPr>
      </w:pPr>
    </w:p>
    <w:p w14:paraId="0000001D" w14:textId="77777777" w:rsidR="0071153B" w:rsidRPr="0042261D" w:rsidRDefault="0071153B">
      <w:pPr>
        <w:rPr>
          <w:rFonts w:asciiTheme="minorHAnsi" w:hAnsiTheme="minorHAnsi"/>
        </w:rPr>
      </w:pPr>
    </w:p>
    <w:sectPr w:rsidR="0071153B" w:rsidRPr="004226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EF83" w14:textId="77777777" w:rsidR="008F7D00" w:rsidRDefault="008F7D00">
      <w:pPr>
        <w:spacing w:after="0" w:line="240" w:lineRule="auto"/>
      </w:pPr>
      <w:r>
        <w:separator/>
      </w:r>
    </w:p>
  </w:endnote>
  <w:endnote w:type="continuationSeparator" w:id="0">
    <w:p w14:paraId="460EBFA0" w14:textId="77777777" w:rsidR="008F7D00" w:rsidRDefault="008F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2F324DE1-218D-4851-9E65-C01B745D4454}"/>
  </w:font>
  <w:font w:name="Aptos">
    <w:charset w:val="00"/>
    <w:family w:val="swiss"/>
    <w:pitch w:val="variable"/>
    <w:sig w:usb0="20000287" w:usb1="00000003" w:usb2="00000000" w:usb3="00000000" w:csb0="0000019F" w:csb1="00000000"/>
    <w:embedRegular r:id="rId2" w:fontKey="{5A04F977-38C2-4D1B-994C-03596BD26F99}"/>
    <w:embedBold r:id="rId3" w:fontKey="{8DED6700-2123-40A2-9FEB-77A490EF98DB}"/>
    <w:embedItalic r:id="rId4" w:fontKey="{8D61A0DC-4F12-44E2-A559-9D10328345D0}"/>
  </w:font>
  <w:font w:name="Aptos Display">
    <w:charset w:val="00"/>
    <w:family w:val="swiss"/>
    <w:pitch w:val="variable"/>
    <w:sig w:usb0="20000287" w:usb1="00000003" w:usb2="00000000" w:usb3="00000000" w:csb0="0000019F" w:csb1="00000000"/>
    <w:embedRegular r:id="rId5" w:fontKey="{5B66E901-745C-443C-AEFB-0D7627E5EEDB}"/>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B53C" w14:textId="6D3AD6CE" w:rsidR="00FA3959" w:rsidRPr="00944DD3" w:rsidRDefault="00944DD3" w:rsidP="00944DD3">
    <w:pPr>
      <w:pStyle w:val="DocID"/>
    </w:pPr>
    <w:r w:rsidRPr="00944DD3">
      <w:t>DM3\11528110.2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981C" w14:textId="45837E81" w:rsidR="00FA3959" w:rsidRPr="00944DD3" w:rsidRDefault="00944DD3" w:rsidP="00944DD3">
    <w:pPr>
      <w:pStyle w:val="DocID"/>
    </w:pPr>
    <w:r w:rsidRPr="00944DD3">
      <w:t>DM3\11528110.2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A3EF" w14:textId="2ED6CD2F" w:rsidR="00FA3959" w:rsidRPr="00944DD3" w:rsidRDefault="00944DD3" w:rsidP="00944DD3">
    <w:pPr>
      <w:pStyle w:val="DocID"/>
    </w:pPr>
    <w:r w:rsidRPr="00944DD3">
      <w:t>DM3\11528110.2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0BC4C" w14:textId="77777777" w:rsidR="008F7D00" w:rsidRDefault="008F7D00">
      <w:pPr>
        <w:spacing w:after="0" w:line="240" w:lineRule="auto"/>
      </w:pPr>
      <w:r>
        <w:separator/>
      </w:r>
    </w:p>
  </w:footnote>
  <w:footnote w:type="continuationSeparator" w:id="0">
    <w:p w14:paraId="6CE2C914" w14:textId="77777777" w:rsidR="008F7D00" w:rsidRDefault="008F7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832A" w14:textId="77777777" w:rsidR="0018229F" w:rsidRDefault="00182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71153B" w:rsidRDefault="00B2287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77F42E76" wp14:editId="6DA75CD3">
          <wp:extent cx="1275850" cy="718756"/>
          <wp:effectExtent l="0" t="0" r="0" b="0"/>
          <wp:docPr id="14295186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5850" cy="718756"/>
                  </a:xfrm>
                  <a:prstGeom prst="rect">
                    <a:avLst/>
                  </a:prstGeom>
                  <a:ln/>
                </pic:spPr>
              </pic:pic>
            </a:graphicData>
          </a:graphic>
        </wp:inline>
      </w:drawing>
    </w:r>
    <w:r>
      <w:rPr>
        <w:color w:val="000000"/>
      </w:rPr>
      <w:t xml:space="preserve">  </w:t>
    </w:r>
    <w:r>
      <w:rPr>
        <w:noProof/>
        <w:color w:val="000000"/>
      </w:rPr>
      <w:drawing>
        <wp:inline distT="0" distB="0" distL="0" distR="0" wp14:anchorId="48A10383" wp14:editId="641091FA">
          <wp:extent cx="2132045" cy="411257"/>
          <wp:effectExtent l="0" t="0" r="0" b="0"/>
          <wp:docPr id="14295186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32045" cy="411257"/>
                  </a:xfrm>
                  <a:prstGeom prst="rect">
                    <a:avLst/>
                  </a:prstGeom>
                  <a:ln/>
                </pic:spPr>
              </pic:pic>
            </a:graphicData>
          </a:graphic>
        </wp:inline>
      </w:drawing>
    </w:r>
    <w:r>
      <w:rPr>
        <w:color w:val="000000"/>
      </w:rPr>
      <w:t xml:space="preserve">     </w:t>
    </w:r>
    <w:sdt>
      <w:sdtPr>
        <w:tag w:val="goog_rdk_26"/>
        <w:id w:val="345453134"/>
      </w:sdtPr>
      <w:sdtEndPr/>
      <w:sdtContent/>
    </w:sdt>
    <w:r>
      <w:rPr>
        <w:noProof/>
        <w:color w:val="000000"/>
      </w:rPr>
      <w:drawing>
        <wp:inline distT="0" distB="0" distL="0" distR="0" wp14:anchorId="6ABD1868" wp14:editId="3AE82C31">
          <wp:extent cx="2311086" cy="405130"/>
          <wp:effectExtent l="0" t="0" r="0" b="0"/>
          <wp:docPr id="14295186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315991" cy="405990"/>
                  </a:xfrm>
                  <a:prstGeom prst="rect">
                    <a:avLst/>
                  </a:prstGeom>
                  <a:ln/>
                </pic:spPr>
              </pic:pic>
            </a:graphicData>
          </a:graphic>
        </wp:inline>
      </w:drawing>
    </w:r>
  </w:p>
  <w:p w14:paraId="0000001F" w14:textId="77777777" w:rsidR="0071153B" w:rsidRDefault="0071153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4368" w14:textId="77777777" w:rsidR="0018229F" w:rsidRDefault="00182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76280"/>
    <w:multiLevelType w:val="multilevel"/>
    <w:tmpl w:val="37866F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2407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3B"/>
    <w:rsid w:val="000106C9"/>
    <w:rsid w:val="000452E9"/>
    <w:rsid w:val="000E3AA0"/>
    <w:rsid w:val="0011584C"/>
    <w:rsid w:val="00155BC2"/>
    <w:rsid w:val="0018229F"/>
    <w:rsid w:val="0018288E"/>
    <w:rsid w:val="001D10FE"/>
    <w:rsid w:val="002B1166"/>
    <w:rsid w:val="002D6BB4"/>
    <w:rsid w:val="003B2183"/>
    <w:rsid w:val="003B35A6"/>
    <w:rsid w:val="003B7CE5"/>
    <w:rsid w:val="0042261D"/>
    <w:rsid w:val="00426EEE"/>
    <w:rsid w:val="00444EDF"/>
    <w:rsid w:val="004A2C6B"/>
    <w:rsid w:val="005572B0"/>
    <w:rsid w:val="005E5820"/>
    <w:rsid w:val="006D1292"/>
    <w:rsid w:val="006F794E"/>
    <w:rsid w:val="0071153B"/>
    <w:rsid w:val="007533AD"/>
    <w:rsid w:val="00766ACA"/>
    <w:rsid w:val="007C78BF"/>
    <w:rsid w:val="007F7FA4"/>
    <w:rsid w:val="008261CF"/>
    <w:rsid w:val="00857817"/>
    <w:rsid w:val="008C0B5D"/>
    <w:rsid w:val="008F5D0B"/>
    <w:rsid w:val="008F7D00"/>
    <w:rsid w:val="00944DD3"/>
    <w:rsid w:val="009608E5"/>
    <w:rsid w:val="0097112D"/>
    <w:rsid w:val="00A43E10"/>
    <w:rsid w:val="00AA0B1D"/>
    <w:rsid w:val="00B2287E"/>
    <w:rsid w:val="00B45044"/>
    <w:rsid w:val="00BB38DE"/>
    <w:rsid w:val="00C40356"/>
    <w:rsid w:val="00C404EA"/>
    <w:rsid w:val="00CC4DBB"/>
    <w:rsid w:val="00D01A36"/>
    <w:rsid w:val="00E147A5"/>
    <w:rsid w:val="00E60550"/>
    <w:rsid w:val="00EA688C"/>
    <w:rsid w:val="00F321FC"/>
    <w:rsid w:val="00FA3959"/>
    <w:rsid w:val="1E8EFFB3"/>
    <w:rsid w:val="2F511BB0"/>
    <w:rsid w:val="37B06078"/>
    <w:rsid w:val="4179AE06"/>
    <w:rsid w:val="542C5F73"/>
    <w:rsid w:val="7733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0B13"/>
  <w15:docId w15:val="{3874EF2D-85DE-46DE-BCED-B38613EF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5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5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684"/>
    <w:rPr>
      <w:rFonts w:eastAsiaTheme="majorEastAsia" w:cstheme="majorBidi"/>
      <w:color w:val="272727" w:themeColor="text1" w:themeTint="D8"/>
    </w:rPr>
  </w:style>
  <w:style w:type="character" w:customStyle="1" w:styleId="TitleChar">
    <w:name w:val="Title Char"/>
    <w:basedOn w:val="DefaultParagraphFont"/>
    <w:link w:val="Title"/>
    <w:uiPriority w:val="10"/>
    <w:rsid w:val="00FA5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A5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684"/>
    <w:pPr>
      <w:spacing w:before="160"/>
      <w:jc w:val="center"/>
    </w:pPr>
    <w:rPr>
      <w:i/>
      <w:iCs/>
      <w:color w:val="404040" w:themeColor="text1" w:themeTint="BF"/>
    </w:rPr>
  </w:style>
  <w:style w:type="character" w:customStyle="1" w:styleId="QuoteChar">
    <w:name w:val="Quote Char"/>
    <w:basedOn w:val="DefaultParagraphFont"/>
    <w:link w:val="Quote"/>
    <w:uiPriority w:val="29"/>
    <w:rsid w:val="00FA5684"/>
    <w:rPr>
      <w:i/>
      <w:iCs/>
      <w:color w:val="404040" w:themeColor="text1" w:themeTint="BF"/>
    </w:rPr>
  </w:style>
  <w:style w:type="paragraph" w:styleId="ListParagraph">
    <w:name w:val="List Paragraph"/>
    <w:basedOn w:val="Normal"/>
    <w:uiPriority w:val="34"/>
    <w:qFormat/>
    <w:rsid w:val="00FA5684"/>
    <w:pPr>
      <w:ind w:left="720"/>
      <w:contextualSpacing/>
    </w:pPr>
  </w:style>
  <w:style w:type="character" w:styleId="IntenseEmphasis">
    <w:name w:val="Intense Emphasis"/>
    <w:basedOn w:val="DefaultParagraphFont"/>
    <w:uiPriority w:val="21"/>
    <w:qFormat/>
    <w:rsid w:val="00FA5684"/>
    <w:rPr>
      <w:i/>
      <w:iCs/>
      <w:color w:val="0F4761" w:themeColor="accent1" w:themeShade="BF"/>
    </w:rPr>
  </w:style>
  <w:style w:type="paragraph" w:styleId="IntenseQuote">
    <w:name w:val="Intense Quote"/>
    <w:basedOn w:val="Normal"/>
    <w:next w:val="Normal"/>
    <w:link w:val="IntenseQuoteChar"/>
    <w:uiPriority w:val="30"/>
    <w:qFormat/>
    <w:rsid w:val="00FA5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684"/>
    <w:rPr>
      <w:i/>
      <w:iCs/>
      <w:color w:val="0F4761" w:themeColor="accent1" w:themeShade="BF"/>
    </w:rPr>
  </w:style>
  <w:style w:type="character" w:styleId="IntenseReference">
    <w:name w:val="Intense Reference"/>
    <w:basedOn w:val="DefaultParagraphFont"/>
    <w:uiPriority w:val="32"/>
    <w:qFormat/>
    <w:rsid w:val="00FA5684"/>
    <w:rPr>
      <w:b/>
      <w:bCs/>
      <w:smallCaps/>
      <w:color w:val="0F4761" w:themeColor="accent1" w:themeShade="BF"/>
      <w:spacing w:val="5"/>
    </w:rPr>
  </w:style>
  <w:style w:type="character" w:styleId="Hyperlink">
    <w:name w:val="Hyperlink"/>
    <w:basedOn w:val="DefaultParagraphFont"/>
    <w:uiPriority w:val="99"/>
    <w:unhideWhenUsed/>
    <w:rsid w:val="00FA5684"/>
    <w:rPr>
      <w:color w:val="467886" w:themeColor="hyperlink"/>
      <w:u w:val="single"/>
    </w:rPr>
  </w:style>
  <w:style w:type="character" w:styleId="UnresolvedMention">
    <w:name w:val="Unresolved Mention"/>
    <w:basedOn w:val="DefaultParagraphFont"/>
    <w:uiPriority w:val="99"/>
    <w:semiHidden/>
    <w:unhideWhenUsed/>
    <w:rsid w:val="00FA5684"/>
    <w:rPr>
      <w:color w:val="605E5C"/>
      <w:shd w:val="clear" w:color="auto" w:fill="E1DFDD"/>
    </w:rPr>
  </w:style>
  <w:style w:type="paragraph" w:styleId="NormalWeb">
    <w:name w:val="Normal (Web)"/>
    <w:basedOn w:val="Normal"/>
    <w:uiPriority w:val="99"/>
    <w:unhideWhenUsed/>
    <w:rsid w:val="001745E2"/>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B0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87"/>
  </w:style>
  <w:style w:type="paragraph" w:styleId="Footer">
    <w:name w:val="footer"/>
    <w:basedOn w:val="Normal"/>
    <w:link w:val="FooterChar"/>
    <w:uiPriority w:val="99"/>
    <w:unhideWhenUsed/>
    <w:rsid w:val="005B0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87"/>
  </w:style>
  <w:style w:type="character" w:styleId="FollowedHyperlink">
    <w:name w:val="FollowedHyperlink"/>
    <w:basedOn w:val="DefaultParagraphFont"/>
    <w:uiPriority w:val="99"/>
    <w:semiHidden/>
    <w:unhideWhenUsed/>
    <w:rsid w:val="004C691B"/>
    <w:rPr>
      <w:color w:val="96607D"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ocID">
    <w:name w:val="_DocID"/>
    <w:rsid w:val="000452E9"/>
    <w:pPr>
      <w:spacing w:after="0" w:line="240" w:lineRule="auto"/>
    </w:pPr>
    <w:rPr>
      <w:rFonts w:ascii="Times New Roman" w:eastAsia="Times New Roman"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87165">
      <w:bodyDiv w:val="1"/>
      <w:marLeft w:val="0"/>
      <w:marRight w:val="0"/>
      <w:marTop w:val="0"/>
      <w:marBottom w:val="0"/>
      <w:divBdr>
        <w:top w:val="none" w:sz="0" w:space="0" w:color="auto"/>
        <w:left w:val="none" w:sz="0" w:space="0" w:color="auto"/>
        <w:bottom w:val="none" w:sz="0" w:space="0" w:color="auto"/>
        <w:right w:val="none" w:sz="0" w:space="0" w:color="auto"/>
      </w:divBdr>
    </w:div>
    <w:div w:id="342822773">
      <w:bodyDiv w:val="1"/>
      <w:marLeft w:val="0"/>
      <w:marRight w:val="0"/>
      <w:marTop w:val="0"/>
      <w:marBottom w:val="0"/>
      <w:divBdr>
        <w:top w:val="none" w:sz="0" w:space="0" w:color="auto"/>
        <w:left w:val="none" w:sz="0" w:space="0" w:color="auto"/>
        <w:bottom w:val="none" w:sz="0" w:space="0" w:color="auto"/>
        <w:right w:val="none" w:sz="0" w:space="0" w:color="auto"/>
      </w:divBdr>
    </w:div>
    <w:div w:id="772168094">
      <w:bodyDiv w:val="1"/>
      <w:marLeft w:val="0"/>
      <w:marRight w:val="0"/>
      <w:marTop w:val="0"/>
      <w:marBottom w:val="0"/>
      <w:divBdr>
        <w:top w:val="none" w:sz="0" w:space="0" w:color="auto"/>
        <w:left w:val="none" w:sz="0" w:space="0" w:color="auto"/>
        <w:bottom w:val="none" w:sz="0" w:space="0" w:color="auto"/>
        <w:right w:val="none" w:sz="0" w:space="0" w:color="auto"/>
      </w:divBdr>
    </w:div>
    <w:div w:id="210144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ontact@nexxbuil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7B1EA2D6A3B4EAACA61A6F6FA03FF" ma:contentTypeVersion="12" ma:contentTypeDescription="Create a new document." ma:contentTypeScope="" ma:versionID="ace2ef51909d92c27e6420602752c6b0">
  <xsd:schema xmlns:xsd="http://www.w3.org/2001/XMLSchema" xmlns:xs="http://www.w3.org/2001/XMLSchema" xmlns:p="http://schemas.microsoft.com/office/2006/metadata/properties" xmlns:ns2="b4aed04d-017a-43cb-8cdf-3c1d3761aaa8" xmlns:ns3="f9d96634-c509-46c7-aad2-5edb867c847d" targetNamespace="http://schemas.microsoft.com/office/2006/metadata/properties" ma:root="true" ma:fieldsID="14d2b73122671331153f2d71d621db48" ns2:_="" ns3:_="">
    <xsd:import namespace="b4aed04d-017a-43cb-8cdf-3c1d3761aaa8"/>
    <xsd:import namespace="f9d96634-c509-46c7-aad2-5edb867c84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d04d-017a-43cb-8cdf-3c1d3761a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c3b206-b953-49a6-963f-6eb4533966e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96634-c509-46c7-aad2-5edb867c84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8d0ba3-0b86-4b05-9bb3-0abbb26e16ad}" ma:internalName="TaxCatchAll" ma:showField="CatchAllData" ma:web="f9d96634-c509-46c7-aad2-5edb867c8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aed04d-017a-43cb-8cdf-3c1d3761aaa8">
      <Terms xmlns="http://schemas.microsoft.com/office/infopath/2007/PartnerControls"/>
    </lcf76f155ced4ddcb4097134ff3c332f>
    <TaxCatchAll xmlns="f9d96634-c509-46c7-aad2-5edb867c847d" xsi:nil="true"/>
  </documentManagement>
</p:properties>
</file>

<file path=customXml/itemProps1.xml><?xml version="1.0" encoding="utf-8"?>
<ds:datastoreItem xmlns:ds="http://schemas.openxmlformats.org/officeDocument/2006/customXml" ds:itemID="{8F3A2A53-B3F3-4539-AA05-3C804BB4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d04d-017a-43cb-8cdf-3c1d3761aaa8"/>
    <ds:schemaRef ds:uri="f9d96634-c509-46c7-aad2-5edb867c8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1EF4E-B378-4883-8C8D-5F0AD7EF41FE}">
  <ds:schemaRefs>
    <ds:schemaRef ds:uri="http://schemas.microsoft.com/sharepoint/v3/contenttype/forms"/>
  </ds:schemaRefs>
</ds:datastoreItem>
</file>

<file path=customXml/itemProps3.xml><?xml version="1.0" encoding="utf-8"?>
<ds:datastoreItem xmlns:ds="http://schemas.openxmlformats.org/officeDocument/2006/customXml" ds:itemID="{AC1AF0BB-9592-485B-B58D-A63E94FDEBCC}">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f9d96634-c509-46c7-aad2-5edb867c847d"/>
    <ds:schemaRef ds:uri="b4aed04d-017a-43cb-8cdf-3c1d3761aaa8"/>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Missel</cp:lastModifiedBy>
  <cp:revision>4</cp:revision>
  <dcterms:created xsi:type="dcterms:W3CDTF">1900-01-01T05:00:00Z</dcterms:created>
  <dcterms:modified xsi:type="dcterms:W3CDTF">2025-06-12T11:18:00Z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0x0101007A67B1EA2D6A3B4EAACA61A6F6FA03FF</vt:lpwstr>
  </property>
  <property fmtid="{D5CDD505-2E9C-101B-9397-08002B2CF9AE}" pid="3" name="MediaServiceImageTags">
    <vt:lpwstr/>
  </property>
</Properties>
</file>